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D73C1" w14:textId="7FF3A640" w:rsidR="00D87460" w:rsidRDefault="00E6385A" w:rsidP="00D7150D">
      <w:pPr>
        <w:pStyle w:val="Heading1"/>
        <w:jc w:val="right"/>
        <w:rPr>
          <w:sz w:val="48"/>
          <w:szCs w:val="48"/>
        </w:rPr>
      </w:pPr>
      <w:bookmarkStart w:id="0" w:name="_Toc153189647"/>
      <w:r w:rsidRPr="00D7150D">
        <w:rPr>
          <w:sz w:val="48"/>
          <w:szCs w:val="48"/>
        </w:rPr>
        <w:t xml:space="preserve">Short Form </w:t>
      </w:r>
      <w:r w:rsidR="00F117C6" w:rsidRPr="00D7150D">
        <w:rPr>
          <w:sz w:val="48"/>
          <w:szCs w:val="48"/>
        </w:rPr>
        <w:t>Work Paper</w:t>
      </w:r>
      <w:r w:rsidRPr="00D7150D">
        <w:rPr>
          <w:sz w:val="48"/>
          <w:szCs w:val="48"/>
        </w:rPr>
        <w:t xml:space="preserve"> </w:t>
      </w:r>
      <w:r w:rsidR="0002351A">
        <w:rPr>
          <w:sz w:val="48"/>
          <w:szCs w:val="48"/>
        </w:rPr>
        <w:t>PGECODHW</w:t>
      </w:r>
      <w:r w:rsidR="00B46393">
        <w:rPr>
          <w:sz w:val="48"/>
          <w:szCs w:val="48"/>
        </w:rPr>
        <w:t>127</w:t>
      </w:r>
    </w:p>
    <w:p w14:paraId="11A26273" w14:textId="58801E00" w:rsidR="00E6385A" w:rsidRPr="00D7150D" w:rsidRDefault="00D87460" w:rsidP="00D7150D">
      <w:pPr>
        <w:pStyle w:val="Heading1"/>
        <w:jc w:val="right"/>
        <w:rPr>
          <w:sz w:val="48"/>
          <w:szCs w:val="48"/>
        </w:rPr>
      </w:pPr>
      <w:r>
        <w:rPr>
          <w:sz w:val="48"/>
          <w:szCs w:val="48"/>
        </w:rPr>
        <w:t xml:space="preserve"> Revision 0</w:t>
      </w:r>
    </w:p>
    <w:bookmarkEnd w:id="0"/>
    <w:p w14:paraId="11A26274" w14:textId="77777777"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14:paraId="11A26275" w14:textId="77777777" w:rsidR="00E6385A" w:rsidRPr="00E6385A" w:rsidRDefault="00251156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Pacific</w:t>
      </w:r>
      <w:r w:rsidR="006875B3">
        <w:rPr>
          <w:rFonts w:cstheme="minorHAnsi"/>
          <w:b/>
          <w:sz w:val="36"/>
          <w:szCs w:val="36"/>
        </w:rPr>
        <w:t xml:space="preserve"> Gas &amp; Electric</w:t>
      </w:r>
    </w:p>
    <w:p w14:paraId="11A26276" w14:textId="77777777" w:rsidR="00E6385A" w:rsidRPr="00E6385A" w:rsidRDefault="00251156" w:rsidP="00E6385A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>Customer Energy Solutions</w:t>
      </w:r>
    </w:p>
    <w:p w14:paraId="11A26277" w14:textId="77777777" w:rsidR="00F117C6" w:rsidRPr="00500C4E" w:rsidRDefault="00F117C6" w:rsidP="00F117C6">
      <w:pPr>
        <w:rPr>
          <w:rFonts w:cstheme="minorHAnsi"/>
        </w:rPr>
      </w:pPr>
    </w:p>
    <w:p w14:paraId="11A26278" w14:textId="77777777"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11A26279" w14:textId="77777777" w:rsidR="00F117C6" w:rsidRPr="00500C4E" w:rsidRDefault="00F117C6" w:rsidP="00F117C6">
      <w:pPr>
        <w:rPr>
          <w:rFonts w:cstheme="minorHAnsi"/>
        </w:rPr>
      </w:pPr>
    </w:p>
    <w:p w14:paraId="11A2627A" w14:textId="77777777" w:rsidR="00F117C6" w:rsidRPr="00500C4E" w:rsidRDefault="00F117C6" w:rsidP="00F117C6">
      <w:pPr>
        <w:rPr>
          <w:rFonts w:cstheme="minorHAnsi"/>
        </w:rPr>
      </w:pPr>
    </w:p>
    <w:p w14:paraId="11A2627B" w14:textId="77777777" w:rsidR="00F117C6" w:rsidRPr="00500C4E" w:rsidRDefault="00F117C6" w:rsidP="00F117C6">
      <w:pPr>
        <w:rPr>
          <w:rFonts w:cstheme="minorHAnsi"/>
        </w:rPr>
      </w:pPr>
    </w:p>
    <w:p w14:paraId="11A2627C" w14:textId="77777777" w:rsidR="00F117C6" w:rsidRPr="00500C4E" w:rsidRDefault="00F117C6" w:rsidP="00F117C6">
      <w:pPr>
        <w:rPr>
          <w:rFonts w:cstheme="minorHAnsi"/>
        </w:rPr>
      </w:pPr>
    </w:p>
    <w:p w14:paraId="11A2627D" w14:textId="77777777" w:rsidR="00F117C6" w:rsidRPr="00500C4E" w:rsidRDefault="00F117C6" w:rsidP="00F117C6">
      <w:pPr>
        <w:rPr>
          <w:rFonts w:cstheme="minorHAnsi"/>
        </w:rPr>
      </w:pPr>
    </w:p>
    <w:p w14:paraId="11A2627E" w14:textId="444049DA" w:rsidR="000E19CA" w:rsidRDefault="0002351A" w:rsidP="00884B9C">
      <w:pPr>
        <w:rPr>
          <w:rFonts w:cstheme="minorHAnsi"/>
          <w:b/>
          <w:sz w:val="72"/>
          <w:szCs w:val="72"/>
        </w:rPr>
      </w:pPr>
      <w:r>
        <w:rPr>
          <w:rFonts w:cstheme="minorHAnsi"/>
          <w:b/>
          <w:sz w:val="72"/>
          <w:szCs w:val="72"/>
        </w:rPr>
        <w:t>Laminar Flow Restrictors</w:t>
      </w:r>
    </w:p>
    <w:p w14:paraId="715DF7C0" w14:textId="2A83D455" w:rsidR="0002351A" w:rsidRPr="00521B4E" w:rsidRDefault="0002351A" w:rsidP="00884B9C">
      <w:pPr>
        <w:rPr>
          <w:rFonts w:cstheme="minorHAnsi"/>
          <w:b/>
          <w:sz w:val="56"/>
          <w:szCs w:val="56"/>
        </w:rPr>
      </w:pPr>
      <w:r w:rsidRPr="00521B4E">
        <w:rPr>
          <w:rFonts w:cstheme="minorHAnsi"/>
          <w:b/>
          <w:sz w:val="56"/>
          <w:szCs w:val="56"/>
        </w:rPr>
        <w:t>For Hospitals and Health Care Facilities</w:t>
      </w:r>
    </w:p>
    <w:p w14:paraId="11A2627F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0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1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2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3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4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5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6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7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8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9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A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B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C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D" w14:textId="77777777"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14:paraId="11A2628E" w14:textId="77777777"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14:paraId="11A2628F" w14:textId="77777777" w:rsidR="00E372B8" w:rsidRDefault="00E372B8" w:rsidP="00241A1F">
      <w:pPr>
        <w:jc w:val="right"/>
        <w:rPr>
          <w:rFonts w:cstheme="minorHAnsi"/>
          <w:b/>
          <w:sz w:val="28"/>
          <w:szCs w:val="28"/>
        </w:rPr>
      </w:pPr>
    </w:p>
    <w:p w14:paraId="11A26290" w14:textId="77777777"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footerReference w:type="defaul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1A26291" w14:textId="1BFC41C9" w:rsidR="00FE520B" w:rsidRDefault="00435DC7" w:rsidP="00FE520B">
      <w:pPr>
        <w:pStyle w:val="Heading1"/>
      </w:pPr>
      <w:r>
        <w:lastRenderedPageBreak/>
        <w:t>P</w:t>
      </w:r>
      <w:r w:rsidR="0059117D">
        <w:t xml:space="preserve">G&amp;E </w:t>
      </w:r>
      <w:r w:rsidR="00323C28">
        <w:t>C</w:t>
      </w:r>
      <w:r w:rsidR="00443C38">
        <w:t>ommercial Steam Traps</w:t>
      </w:r>
    </w:p>
    <w:p w14:paraId="11A26292" w14:textId="77777777" w:rsidR="00413EF4" w:rsidRDefault="00413EF4" w:rsidP="00413EF4">
      <w:pPr>
        <w:pStyle w:val="Heading2"/>
      </w:pPr>
      <w:r>
        <w:t>Introduction</w:t>
      </w:r>
    </w:p>
    <w:p w14:paraId="11A26293" w14:textId="63023FE0" w:rsidR="005E18A1" w:rsidRDefault="00C23CAB" w:rsidP="003E23F0">
      <w:r>
        <w:t>This short form workpaper documents (</w:t>
      </w:r>
      <w:r w:rsidR="008E5CD5">
        <w:t>WP</w:t>
      </w:r>
      <w:r>
        <w:t xml:space="preserve">) the values adopted from </w:t>
      </w:r>
      <w:r w:rsidR="00282AAF">
        <w:t>SCG</w:t>
      </w:r>
      <w:r>
        <w:t xml:space="preserve">’s </w:t>
      </w:r>
      <w:r w:rsidR="008E5CD5">
        <w:t>WP</w:t>
      </w:r>
      <w:r>
        <w:t xml:space="preserve"> entitled “</w:t>
      </w:r>
      <w:r w:rsidR="004E741E">
        <w:t>Laminar Flow restrictor</w:t>
      </w:r>
      <w:r w:rsidR="007A2F86">
        <w:t>s</w:t>
      </w:r>
      <w:r w:rsidR="004E741E">
        <w:t xml:space="preserve"> for Hospital and Health Care facilities</w:t>
      </w:r>
      <w:r w:rsidR="0093459A">
        <w:t xml:space="preserve">” </w:t>
      </w:r>
      <w:r w:rsidR="005E18A1">
        <w:t>(</w:t>
      </w:r>
      <w:r w:rsidR="00E64633">
        <w:t>WPSCGNRWH150827A Rev 2</w:t>
      </w:r>
      <w:r w:rsidR="004016D3" w:rsidRPr="004016D3">
        <w:t xml:space="preserve"> </w:t>
      </w:r>
      <w:r w:rsidR="00E64633">
        <w:t>WPSCGNRWH150827A-Rev02</w:t>
      </w:r>
      <w:r w:rsidR="004E741E">
        <w:t xml:space="preserve"> </w:t>
      </w:r>
      <w:r w:rsidR="00E64633">
        <w:t>Laminar</w:t>
      </w:r>
      <w:r w:rsidR="004E741E">
        <w:t xml:space="preserve"> </w:t>
      </w:r>
      <w:r w:rsidR="00E64633">
        <w:t>Flow Restrictor</w:t>
      </w:r>
      <w:r w:rsidR="004016D3" w:rsidRPr="004016D3">
        <w:t>.docx</w:t>
      </w:r>
      <w:r w:rsidR="006875B3">
        <w:t>)</w:t>
      </w:r>
      <w:r w:rsidR="00454489">
        <w:t>. P</w:t>
      </w:r>
      <w:r w:rsidR="005E18A1">
        <w:t xml:space="preserve">G&amp;E </w:t>
      </w:r>
      <w:r w:rsidR="00555671">
        <w:t>a</w:t>
      </w:r>
      <w:r w:rsidR="005E18A1">
        <w:t>d</w:t>
      </w:r>
      <w:r w:rsidR="00555671">
        <w:t>op</w:t>
      </w:r>
      <w:r w:rsidR="007A2F86">
        <w:t xml:space="preserve">ts </w:t>
      </w:r>
      <w:proofErr w:type="gramStart"/>
      <w:r w:rsidR="007A2F86">
        <w:t xml:space="preserve">all </w:t>
      </w:r>
      <w:r w:rsidR="005E18A1">
        <w:t>of</w:t>
      </w:r>
      <w:proofErr w:type="gramEnd"/>
      <w:r w:rsidR="005E18A1">
        <w:t xml:space="preserve"> the values in </w:t>
      </w:r>
      <w:r w:rsidR="004E741E">
        <w:t>SCGWP100310A Rev 9 Laminar Flow Restrictors</w:t>
      </w:r>
      <w:r w:rsidR="00B970A4">
        <w:t xml:space="preserve"> with minor changes</w:t>
      </w:r>
      <w:r w:rsidR="009269CE">
        <w:t>.</w:t>
      </w:r>
    </w:p>
    <w:p w14:paraId="11A26294" w14:textId="77777777" w:rsidR="005E18A1" w:rsidRDefault="005E18A1" w:rsidP="0093459A"/>
    <w:p w14:paraId="11A26295" w14:textId="77777777"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4991" w:type="pct"/>
        <w:tblLayout w:type="fixed"/>
        <w:tblLook w:val="01E0" w:firstRow="1" w:lastRow="1" w:firstColumn="1" w:lastColumn="1" w:noHBand="0" w:noVBand="0"/>
      </w:tblPr>
      <w:tblGrid>
        <w:gridCol w:w="625"/>
        <w:gridCol w:w="1258"/>
        <w:gridCol w:w="1471"/>
        <w:gridCol w:w="5979"/>
      </w:tblGrid>
      <w:tr w:rsidR="00E52110" w:rsidRPr="00500C4E" w14:paraId="11A2629A" w14:textId="77777777" w:rsidTr="000A075B">
        <w:trPr>
          <w:trHeight w:val="20"/>
        </w:trPr>
        <w:tc>
          <w:tcPr>
            <w:tcW w:w="335" w:type="pct"/>
            <w:shd w:val="clear" w:color="auto" w:fill="D9D9D9" w:themeFill="background1" w:themeFillShade="D9"/>
          </w:tcPr>
          <w:p w14:paraId="11A26296" w14:textId="77777777" w:rsidR="00B57F32" w:rsidRPr="000E2B6B" w:rsidRDefault="00B57F32" w:rsidP="002A7EFE">
            <w:pPr>
              <w:rPr>
                <w:bCs/>
              </w:rPr>
            </w:pPr>
            <w:r w:rsidRPr="000E2B6B">
              <w:t>Rev</w:t>
            </w:r>
          </w:p>
        </w:tc>
        <w:tc>
          <w:tcPr>
            <w:tcW w:w="674" w:type="pct"/>
            <w:shd w:val="clear" w:color="auto" w:fill="D9D9D9" w:themeFill="background1" w:themeFillShade="D9"/>
          </w:tcPr>
          <w:p w14:paraId="11A26297" w14:textId="77777777" w:rsidR="00B57F32" w:rsidRPr="000E2B6B" w:rsidRDefault="00B57F32" w:rsidP="002A7EFE">
            <w:pPr>
              <w:rPr>
                <w:bCs/>
              </w:rPr>
            </w:pPr>
            <w:r w:rsidRPr="000E2B6B">
              <w:t>Date</w:t>
            </w:r>
          </w:p>
        </w:tc>
        <w:tc>
          <w:tcPr>
            <w:tcW w:w="788" w:type="pct"/>
            <w:shd w:val="clear" w:color="auto" w:fill="D9D9D9" w:themeFill="background1" w:themeFillShade="D9"/>
          </w:tcPr>
          <w:p w14:paraId="11A26298" w14:textId="77777777" w:rsidR="00B57F32" w:rsidRPr="000E2B6B" w:rsidRDefault="00B57F32" w:rsidP="002A7EFE">
            <w:pPr>
              <w:rPr>
                <w:bCs/>
              </w:rPr>
            </w:pPr>
            <w:r w:rsidRPr="000E2B6B">
              <w:t>Author</w:t>
            </w:r>
          </w:p>
        </w:tc>
        <w:tc>
          <w:tcPr>
            <w:tcW w:w="3202" w:type="pct"/>
            <w:shd w:val="clear" w:color="auto" w:fill="D9D9D9" w:themeFill="background1" w:themeFillShade="D9"/>
          </w:tcPr>
          <w:p w14:paraId="11A26299" w14:textId="77777777" w:rsidR="00B57F32" w:rsidRPr="000E2B6B" w:rsidRDefault="00B57F32" w:rsidP="002A7EFE">
            <w:pPr>
              <w:rPr>
                <w:bCs/>
              </w:rPr>
            </w:pPr>
            <w:r w:rsidRPr="000E2B6B">
              <w:t>Summary of Changes</w:t>
            </w:r>
          </w:p>
        </w:tc>
      </w:tr>
      <w:tr w:rsidR="00E52110" w:rsidRPr="00500C4E" w14:paraId="11A262A0" w14:textId="77777777" w:rsidTr="000A075B">
        <w:trPr>
          <w:trHeight w:val="20"/>
        </w:trPr>
        <w:tc>
          <w:tcPr>
            <w:tcW w:w="335" w:type="pct"/>
          </w:tcPr>
          <w:p w14:paraId="11A2629B" w14:textId="77777777"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74" w:type="pct"/>
          </w:tcPr>
          <w:p w14:paraId="11A2629C" w14:textId="2F59F9BA" w:rsidR="00884B9C" w:rsidRPr="000E2B6B" w:rsidRDefault="00E64633" w:rsidP="002A7EFE">
            <w:pPr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06/12</w:t>
            </w:r>
            <w:r w:rsidR="00282AAF">
              <w:rPr>
                <w:rFonts w:cstheme="minorHAnsi"/>
                <w:szCs w:val="20"/>
              </w:rPr>
              <w:t>/2018</w:t>
            </w:r>
          </w:p>
        </w:tc>
        <w:tc>
          <w:tcPr>
            <w:tcW w:w="788" w:type="pct"/>
          </w:tcPr>
          <w:p w14:paraId="11A2629E" w14:textId="6ED43806" w:rsidR="00884B9C" w:rsidRPr="000E2B6B" w:rsidRDefault="00282AAF" w:rsidP="002A7EFE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Steve Fok (PG&amp;E)</w:t>
            </w:r>
          </w:p>
        </w:tc>
        <w:tc>
          <w:tcPr>
            <w:tcW w:w="3202" w:type="pct"/>
          </w:tcPr>
          <w:p w14:paraId="11A2629F" w14:textId="2EAB4553" w:rsidR="00884B9C" w:rsidRPr="005734A4" w:rsidRDefault="00282AAF" w:rsidP="00FD292E">
            <w:pPr>
              <w:rPr>
                <w:rFonts w:cstheme="minorHAns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Adopted SCG </w:t>
            </w:r>
            <w:r w:rsidR="00334386">
              <w:rPr>
                <w:rFonts w:ascii="Calibri" w:hAnsi="Calibri" w:cs="Calibri"/>
                <w:szCs w:val="20"/>
              </w:rPr>
              <w:t xml:space="preserve">Workpaper </w:t>
            </w:r>
            <w:r w:rsidR="00E64633">
              <w:t>WPSCGNRWH150827A Rev 2</w:t>
            </w:r>
            <w:r w:rsidR="003E23F0" w:rsidRPr="004016D3">
              <w:t xml:space="preserve"> </w:t>
            </w:r>
            <w:r>
              <w:t xml:space="preserve">dated </w:t>
            </w:r>
            <w:r w:rsidR="00E64633">
              <w:t>April 8, 2016</w:t>
            </w:r>
            <w:r>
              <w:t xml:space="preserve"> (</w:t>
            </w:r>
            <w:r w:rsidR="00E64633">
              <w:rPr>
                <w:rFonts w:ascii="Calibri" w:hAnsi="Calibri" w:cs="Calibri"/>
                <w:szCs w:val="20"/>
              </w:rPr>
              <w:t>authored and revised by Julianna Colwell, Jesse Martinez and Nicole Loo</w:t>
            </w:r>
            <w:r w:rsidR="00334386">
              <w:rPr>
                <w:rFonts w:ascii="Calibri" w:hAnsi="Calibri" w:cs="Calibri"/>
                <w:szCs w:val="20"/>
              </w:rPr>
              <w:t>)</w:t>
            </w:r>
            <w:r w:rsidR="006E2FD6">
              <w:rPr>
                <w:rFonts w:ascii="Calibri" w:hAnsi="Calibri" w:cs="Calibri"/>
                <w:szCs w:val="20"/>
              </w:rPr>
              <w:t xml:space="preserve"> with minor changes</w:t>
            </w:r>
            <w:r>
              <w:rPr>
                <w:rFonts w:ascii="Calibri" w:hAnsi="Calibri" w:cs="Calibri"/>
                <w:szCs w:val="20"/>
              </w:rPr>
              <w:t>.</w:t>
            </w:r>
          </w:p>
        </w:tc>
      </w:tr>
      <w:tr w:rsidR="00E52110" w:rsidRPr="00500C4E" w14:paraId="11A262A5" w14:textId="77777777" w:rsidTr="000A075B">
        <w:trPr>
          <w:trHeight w:val="20"/>
        </w:trPr>
        <w:tc>
          <w:tcPr>
            <w:tcW w:w="335" w:type="pct"/>
          </w:tcPr>
          <w:p w14:paraId="11A262A1" w14:textId="77777777" w:rsidR="00884B9C" w:rsidRPr="000E2B6B" w:rsidRDefault="00884B9C">
            <w:pPr>
              <w:jc w:val="center"/>
              <w:rPr>
                <w:b/>
              </w:rPr>
            </w:pPr>
          </w:p>
        </w:tc>
        <w:tc>
          <w:tcPr>
            <w:tcW w:w="674" w:type="pct"/>
          </w:tcPr>
          <w:p w14:paraId="11A262A2" w14:textId="77777777" w:rsidR="00884B9C" w:rsidRPr="000E2B6B" w:rsidRDefault="00884B9C" w:rsidP="002A7EFE">
            <w:pPr>
              <w:jc w:val="center"/>
              <w:rPr>
                <w:b/>
              </w:rPr>
            </w:pPr>
          </w:p>
        </w:tc>
        <w:tc>
          <w:tcPr>
            <w:tcW w:w="788" w:type="pct"/>
          </w:tcPr>
          <w:p w14:paraId="11A262A3" w14:textId="77777777" w:rsidR="00884B9C" w:rsidRPr="000E2B6B" w:rsidRDefault="00884B9C" w:rsidP="002A7EFE">
            <w:pPr>
              <w:rPr>
                <w:b/>
              </w:rPr>
            </w:pPr>
          </w:p>
        </w:tc>
        <w:tc>
          <w:tcPr>
            <w:tcW w:w="3202" w:type="pct"/>
          </w:tcPr>
          <w:p w14:paraId="11A262A4" w14:textId="77777777" w:rsidR="00762D81" w:rsidRPr="00762D81" w:rsidRDefault="00762D81" w:rsidP="00762D81">
            <w:pPr>
              <w:rPr>
                <w:b/>
                <w:szCs w:val="20"/>
              </w:rPr>
            </w:pPr>
          </w:p>
        </w:tc>
      </w:tr>
      <w:tr w:rsidR="00E52110" w:rsidRPr="00500C4E" w14:paraId="11A262AA" w14:textId="77777777" w:rsidTr="000A075B">
        <w:trPr>
          <w:trHeight w:val="20"/>
        </w:trPr>
        <w:tc>
          <w:tcPr>
            <w:tcW w:w="335" w:type="pct"/>
          </w:tcPr>
          <w:p w14:paraId="11A262A6" w14:textId="77777777" w:rsidR="00DB544A" w:rsidRPr="00F2079F" w:rsidRDefault="00DB544A" w:rsidP="00700C85">
            <w:pPr>
              <w:jc w:val="center"/>
            </w:pPr>
          </w:p>
        </w:tc>
        <w:tc>
          <w:tcPr>
            <w:tcW w:w="674" w:type="pct"/>
          </w:tcPr>
          <w:p w14:paraId="11A262A7" w14:textId="77777777" w:rsidR="00DB544A" w:rsidRDefault="00DB544A" w:rsidP="002A7EFE">
            <w:pPr>
              <w:jc w:val="center"/>
              <w:rPr>
                <w:szCs w:val="20"/>
              </w:rPr>
            </w:pPr>
          </w:p>
        </w:tc>
        <w:tc>
          <w:tcPr>
            <w:tcW w:w="788" w:type="pct"/>
          </w:tcPr>
          <w:p w14:paraId="11A262A8" w14:textId="77777777" w:rsidR="00DB544A" w:rsidRDefault="00DB544A" w:rsidP="002A7EFE">
            <w:pPr>
              <w:rPr>
                <w:szCs w:val="20"/>
              </w:rPr>
            </w:pPr>
          </w:p>
        </w:tc>
        <w:tc>
          <w:tcPr>
            <w:tcW w:w="3202" w:type="pct"/>
          </w:tcPr>
          <w:p w14:paraId="11A262A9" w14:textId="77777777" w:rsidR="00762D81" w:rsidRPr="006A478E" w:rsidRDefault="00762D81" w:rsidP="00700C85">
            <w:pPr>
              <w:rPr>
                <w:bCs/>
                <w:szCs w:val="20"/>
              </w:rPr>
            </w:pPr>
          </w:p>
        </w:tc>
      </w:tr>
      <w:tr w:rsidR="00E52110" w:rsidRPr="00500C4E" w14:paraId="11A262AF" w14:textId="77777777" w:rsidTr="000A075B">
        <w:trPr>
          <w:trHeight w:val="20"/>
        </w:trPr>
        <w:tc>
          <w:tcPr>
            <w:tcW w:w="335" w:type="pct"/>
          </w:tcPr>
          <w:p w14:paraId="11A262AB" w14:textId="77777777" w:rsidR="00762D81" w:rsidRDefault="00762D81" w:rsidP="008C2C8A">
            <w:pPr>
              <w:jc w:val="center"/>
            </w:pPr>
          </w:p>
        </w:tc>
        <w:tc>
          <w:tcPr>
            <w:tcW w:w="674" w:type="pct"/>
          </w:tcPr>
          <w:p w14:paraId="11A262AC" w14:textId="77777777" w:rsidR="00762D81" w:rsidRDefault="00762D81" w:rsidP="002A7EFE">
            <w:pPr>
              <w:jc w:val="center"/>
              <w:rPr>
                <w:szCs w:val="20"/>
              </w:rPr>
            </w:pPr>
          </w:p>
        </w:tc>
        <w:tc>
          <w:tcPr>
            <w:tcW w:w="788" w:type="pct"/>
          </w:tcPr>
          <w:p w14:paraId="11A262AD" w14:textId="77777777" w:rsidR="004016D3" w:rsidRDefault="004016D3" w:rsidP="002A7EFE">
            <w:pPr>
              <w:rPr>
                <w:szCs w:val="20"/>
              </w:rPr>
            </w:pPr>
          </w:p>
        </w:tc>
        <w:tc>
          <w:tcPr>
            <w:tcW w:w="3202" w:type="pct"/>
          </w:tcPr>
          <w:p w14:paraId="11A262AE" w14:textId="77777777" w:rsidR="004016D3" w:rsidRDefault="004016D3" w:rsidP="004016D3">
            <w:pPr>
              <w:rPr>
                <w:bCs/>
                <w:szCs w:val="20"/>
              </w:rPr>
            </w:pPr>
          </w:p>
        </w:tc>
      </w:tr>
      <w:tr w:rsidR="00700C85" w:rsidRPr="00500C4E" w14:paraId="11A262B4" w14:textId="77777777" w:rsidTr="000A075B">
        <w:trPr>
          <w:trHeight w:val="20"/>
        </w:trPr>
        <w:tc>
          <w:tcPr>
            <w:tcW w:w="335" w:type="pct"/>
          </w:tcPr>
          <w:p w14:paraId="11A262B0" w14:textId="77777777" w:rsidR="00700C85" w:rsidRDefault="00700C85" w:rsidP="008C2C8A">
            <w:pPr>
              <w:jc w:val="center"/>
            </w:pPr>
          </w:p>
        </w:tc>
        <w:tc>
          <w:tcPr>
            <w:tcW w:w="674" w:type="pct"/>
          </w:tcPr>
          <w:p w14:paraId="11A262B1" w14:textId="77777777" w:rsidR="00700C85" w:rsidRDefault="00700C85" w:rsidP="002A7EFE">
            <w:pPr>
              <w:jc w:val="center"/>
              <w:rPr>
                <w:szCs w:val="20"/>
              </w:rPr>
            </w:pPr>
          </w:p>
        </w:tc>
        <w:tc>
          <w:tcPr>
            <w:tcW w:w="788" w:type="pct"/>
          </w:tcPr>
          <w:p w14:paraId="11A262B2" w14:textId="77777777" w:rsidR="00700C85" w:rsidRDefault="00700C85" w:rsidP="002A7EFE">
            <w:pPr>
              <w:rPr>
                <w:szCs w:val="20"/>
              </w:rPr>
            </w:pPr>
          </w:p>
        </w:tc>
        <w:tc>
          <w:tcPr>
            <w:tcW w:w="3202" w:type="pct"/>
          </w:tcPr>
          <w:p w14:paraId="11A262B3" w14:textId="77777777" w:rsidR="00700C85" w:rsidRPr="00700C85" w:rsidRDefault="00700C85" w:rsidP="00EC7A22">
            <w:pPr>
              <w:ind w:left="360"/>
              <w:rPr>
                <w:bCs/>
              </w:rPr>
            </w:pPr>
          </w:p>
        </w:tc>
      </w:tr>
    </w:tbl>
    <w:p w14:paraId="11A262B5" w14:textId="77777777" w:rsidR="00DB71F1" w:rsidRDefault="00DB71F1" w:rsidP="00413EF4"/>
    <w:p w14:paraId="11A262B6" w14:textId="77777777" w:rsidR="00DB71F1" w:rsidRDefault="00DB71F1">
      <w:pPr>
        <w:spacing w:after="200" w:line="276" w:lineRule="auto"/>
      </w:pPr>
      <w:r>
        <w:br w:type="page"/>
      </w:r>
    </w:p>
    <w:p w14:paraId="11A262B7" w14:textId="77777777"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14:paraId="11A262B8" w14:textId="77777777" w:rsidR="00EE6CFE" w:rsidRPr="00EE6CFE" w:rsidRDefault="00EE6CFE" w:rsidP="0081521B"/>
    <w:p w14:paraId="11A262B9" w14:textId="6A798406" w:rsidR="00DB71F1" w:rsidRDefault="00DB71F1" w:rsidP="00DB71F1">
      <w:pPr>
        <w:pStyle w:val="WPnumber"/>
        <w:keepNext/>
        <w:jc w:val="center"/>
      </w:pPr>
      <w:r>
        <w:t xml:space="preserve">Table </w:t>
      </w:r>
      <w:fldSimple w:instr=" SEQ Table \* ARABIC ">
        <w:r w:rsidR="000A075B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1623"/>
        <w:gridCol w:w="15"/>
        <w:gridCol w:w="7712"/>
        <w:gridCol w:w="226"/>
      </w:tblGrid>
      <w:tr w:rsidR="00DB71F1" w14:paraId="11A262BC" w14:textId="77777777" w:rsidTr="004D66DF">
        <w:trPr>
          <w:cantSplit/>
          <w:tblHeader/>
        </w:trPr>
        <w:tc>
          <w:tcPr>
            <w:tcW w:w="1638" w:type="dxa"/>
            <w:gridSpan w:val="2"/>
          </w:tcPr>
          <w:p w14:paraId="11A262BA" w14:textId="77777777" w:rsidR="00DB71F1" w:rsidRPr="00D86243" w:rsidRDefault="00DB71F1" w:rsidP="002A7EFE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7938" w:type="dxa"/>
            <w:gridSpan w:val="2"/>
          </w:tcPr>
          <w:p w14:paraId="11A262BB" w14:textId="77777777" w:rsidR="00DB71F1" w:rsidRPr="00D86243" w:rsidRDefault="00DB71F1" w:rsidP="002A7EFE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14:paraId="11A262BF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2BD" w14:textId="77777777" w:rsidR="00DB71F1" w:rsidRPr="001D77F7" w:rsidRDefault="00DB71F1" w:rsidP="002A7EFE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938" w:type="dxa"/>
            <w:gridSpan w:val="2"/>
          </w:tcPr>
          <w:p w14:paraId="11A262BE" w14:textId="6DD10030"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  <w:r w:rsidRPr="00E52110">
              <w:rPr>
                <w:rFonts w:cs="Arial"/>
                <w:sz w:val="20"/>
                <w:szCs w:val="20"/>
              </w:rPr>
              <w:t>This short form workpaper documents</w:t>
            </w:r>
            <w:r w:rsidR="00B80557">
              <w:rPr>
                <w:rFonts w:cs="Arial"/>
                <w:sz w:val="20"/>
                <w:szCs w:val="20"/>
              </w:rPr>
              <w:t xml:space="preserve"> details </w:t>
            </w:r>
            <w:r w:rsidR="00251ABB">
              <w:rPr>
                <w:rFonts w:cs="Arial"/>
                <w:sz w:val="20"/>
                <w:szCs w:val="20"/>
              </w:rPr>
              <w:t xml:space="preserve">a Laminar Flow Restrictors </w:t>
            </w:r>
            <w:r w:rsidR="00834B32">
              <w:rPr>
                <w:rFonts w:cs="Arial"/>
                <w:sz w:val="20"/>
                <w:szCs w:val="20"/>
              </w:rPr>
              <w:t xml:space="preserve">(LFR) </w:t>
            </w:r>
            <w:r w:rsidR="00251ABB">
              <w:rPr>
                <w:rFonts w:cs="Arial"/>
                <w:sz w:val="20"/>
                <w:szCs w:val="20"/>
              </w:rPr>
              <w:t>for Hospitals and Health Care Facilities</w:t>
            </w:r>
            <w:r w:rsidR="00067873">
              <w:rPr>
                <w:rFonts w:cs="Arial"/>
                <w:sz w:val="20"/>
                <w:szCs w:val="20"/>
              </w:rPr>
              <w:t xml:space="preserve"> measure based on the</w:t>
            </w:r>
            <w:r w:rsidR="00251ABB">
              <w:rPr>
                <w:rFonts w:cs="Arial"/>
                <w:sz w:val="20"/>
                <w:szCs w:val="20"/>
              </w:rPr>
              <w:t xml:space="preserve"> Health/Medical buildings of the Commercial sector as a Retrofit Add-on (REA)</w:t>
            </w:r>
            <w:r w:rsidR="00270239">
              <w:rPr>
                <w:rFonts w:cs="Arial"/>
                <w:sz w:val="20"/>
                <w:szCs w:val="20"/>
              </w:rPr>
              <w:t xml:space="preserve"> measure for existing faucets that do not already have a flow restricting devices installed</w:t>
            </w:r>
            <w:r w:rsidR="00EF61C8">
              <w:rPr>
                <w:rFonts w:cs="Arial"/>
                <w:sz w:val="20"/>
                <w:szCs w:val="20"/>
              </w:rPr>
              <w:t xml:space="preserve">. </w:t>
            </w:r>
            <w:r w:rsidR="00C228B0" w:rsidRPr="00E52110">
              <w:rPr>
                <w:rFonts w:cs="Arial"/>
                <w:sz w:val="20"/>
                <w:szCs w:val="20"/>
              </w:rPr>
              <w:t>The base energy consumption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 and </w:t>
            </w:r>
            <w:r w:rsidR="00C228B0" w:rsidRPr="00E5211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 values</w:t>
            </w:r>
            <w:r w:rsidR="00C228B0" w:rsidRPr="00E52110">
              <w:rPr>
                <w:rFonts w:cs="Arial"/>
                <w:sz w:val="20"/>
                <w:szCs w:val="20"/>
              </w:rPr>
              <w:t xml:space="preserve"> are fr</w:t>
            </w:r>
            <w:r w:rsidR="001A34A6" w:rsidRPr="00E52110">
              <w:rPr>
                <w:rFonts w:cs="Arial"/>
                <w:sz w:val="20"/>
                <w:szCs w:val="20"/>
              </w:rPr>
              <w:t xml:space="preserve">om </w:t>
            </w:r>
            <w:r w:rsidR="00EF61C8">
              <w:rPr>
                <w:rFonts w:cs="Arial"/>
                <w:sz w:val="20"/>
                <w:szCs w:val="20"/>
              </w:rPr>
              <w:t>SCG</w:t>
            </w:r>
            <w:r w:rsidR="00E52110">
              <w:rPr>
                <w:rFonts w:cs="Arial"/>
                <w:sz w:val="20"/>
                <w:szCs w:val="20"/>
              </w:rPr>
              <w:t xml:space="preserve">’s </w:t>
            </w:r>
            <w:r w:rsidR="001A34A6" w:rsidRPr="00E52110">
              <w:rPr>
                <w:rFonts w:cs="Arial"/>
                <w:sz w:val="20"/>
                <w:szCs w:val="20"/>
              </w:rPr>
              <w:t xml:space="preserve">workpaper, </w:t>
            </w:r>
            <w:r w:rsidR="00270239">
              <w:rPr>
                <w:rFonts w:cs="Arial"/>
                <w:sz w:val="20"/>
                <w:szCs w:val="20"/>
              </w:rPr>
              <w:t>WPSCGNRWH150827A</w:t>
            </w:r>
            <w:r w:rsidR="00C228B0" w:rsidRPr="00E52110">
              <w:rPr>
                <w:rFonts w:cs="Arial"/>
                <w:sz w:val="20"/>
                <w:szCs w:val="20"/>
              </w:rPr>
              <w:t xml:space="preserve">, Revision </w:t>
            </w:r>
            <w:r w:rsidR="00270239">
              <w:rPr>
                <w:rFonts w:cs="Arial"/>
                <w:sz w:val="20"/>
                <w:szCs w:val="20"/>
              </w:rPr>
              <w:t>2</w:t>
            </w:r>
            <w:r w:rsidR="00067315" w:rsidRPr="00E52110">
              <w:rPr>
                <w:rFonts w:cs="Arial"/>
                <w:sz w:val="20"/>
                <w:szCs w:val="20"/>
              </w:rPr>
              <w:t xml:space="preserve">.  </w:t>
            </w:r>
          </w:p>
        </w:tc>
      </w:tr>
      <w:tr w:rsidR="00DB71F1" w14:paraId="11A262CB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2C0" w14:textId="77777777" w:rsidR="00DB71F1" w:rsidRPr="001D77F7" w:rsidRDefault="00DB71F1" w:rsidP="002A7EFE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7938" w:type="dxa"/>
            <w:gridSpan w:val="2"/>
          </w:tcPr>
          <w:p w14:paraId="22672155" w14:textId="6AC476A9" w:rsidR="00EF61C8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>Measure</w:t>
            </w:r>
            <w:r w:rsidR="00666474">
              <w:rPr>
                <w:rFonts w:cs="Arial"/>
                <w:sz w:val="20"/>
                <w:szCs w:val="20"/>
              </w:rPr>
              <w:t>s</w:t>
            </w:r>
            <w:r w:rsidRPr="00555671">
              <w:rPr>
                <w:rFonts w:cs="Arial"/>
                <w:sz w:val="20"/>
                <w:szCs w:val="20"/>
              </w:rPr>
              <w:t xml:space="preserve">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68"/>
              <w:gridCol w:w="1322"/>
              <w:gridCol w:w="5040"/>
            </w:tblGrid>
            <w:tr w:rsidR="008C5A8E" w14:paraId="11A262C5" w14:textId="77777777" w:rsidTr="00270239">
              <w:tc>
                <w:tcPr>
                  <w:tcW w:w="968" w:type="dxa"/>
                </w:tcPr>
                <w:p w14:paraId="11A262C2" w14:textId="77777777" w:rsidR="008C5A8E" w:rsidRDefault="00B80557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PG&amp;E Measure </w:t>
                  </w:r>
                  <w:r w:rsidR="008C5A8E">
                    <w:rPr>
                      <w:rFonts w:cs="Arial"/>
                      <w:sz w:val="20"/>
                      <w:szCs w:val="20"/>
                    </w:rPr>
                    <w:t>Code</w:t>
                  </w:r>
                  <w:r w:rsidR="00666474">
                    <w:rPr>
                      <w:rFonts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1322" w:type="dxa"/>
                </w:tcPr>
                <w:p w14:paraId="3F5FB5E9" w14:textId="77777777" w:rsidR="00E768E1" w:rsidRDefault="00E768E1" w:rsidP="00B80557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SCG</w:t>
                  </w:r>
                </w:p>
                <w:p w14:paraId="11A262C3" w14:textId="307FE78A" w:rsidR="008C5A8E" w:rsidRDefault="00E768E1" w:rsidP="00B80557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</w:t>
                  </w:r>
                  <w:r w:rsidR="00F4492D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  <w:r w:rsidR="008C5A8E">
                    <w:rPr>
                      <w:rFonts w:cs="Arial"/>
                      <w:sz w:val="20"/>
                      <w:szCs w:val="20"/>
                    </w:rPr>
                    <w:t>Code</w:t>
                  </w:r>
                  <w:r w:rsidR="00B80557">
                    <w:rPr>
                      <w:rFonts w:cs="Arial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5040" w:type="dxa"/>
                </w:tcPr>
                <w:p w14:paraId="11A262C4" w14:textId="77777777" w:rsidR="008C5A8E" w:rsidRDefault="008C5A8E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Description</w:t>
                  </w:r>
                </w:p>
              </w:tc>
            </w:tr>
            <w:tr w:rsidR="008C5A8E" w14:paraId="11A262C9" w14:textId="77777777" w:rsidTr="00270239">
              <w:tc>
                <w:tcPr>
                  <w:tcW w:w="968" w:type="dxa"/>
                </w:tcPr>
                <w:p w14:paraId="11A262C6" w14:textId="0D967ADF" w:rsidR="00666474" w:rsidRPr="008C5A8E" w:rsidRDefault="00B46393" w:rsidP="00D3336A">
                  <w:pPr>
                    <w:rPr>
                      <w:rFonts w:cs="Arial"/>
                      <w:sz w:val="20"/>
                      <w:szCs w:val="20"/>
                    </w:rPr>
                  </w:pPr>
                  <w:bookmarkStart w:id="1" w:name="_Hlk516490117"/>
                  <w:r>
                    <w:rPr>
                      <w:rFonts w:cs="Arial"/>
                      <w:sz w:val="20"/>
                      <w:szCs w:val="20"/>
                    </w:rPr>
                    <w:t>BW032</w:t>
                  </w:r>
                </w:p>
              </w:tc>
              <w:tc>
                <w:tcPr>
                  <w:tcW w:w="1322" w:type="dxa"/>
                </w:tcPr>
                <w:p w14:paraId="11A262C7" w14:textId="16E36C24" w:rsidR="00270239" w:rsidRPr="00270239" w:rsidRDefault="00270239" w:rsidP="002A7EFE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ShwFlr001</w:t>
                  </w:r>
                </w:p>
              </w:tc>
              <w:tc>
                <w:tcPr>
                  <w:tcW w:w="5040" w:type="dxa"/>
                </w:tcPr>
                <w:p w14:paraId="11A262C8" w14:textId="61A6CAEC" w:rsidR="008C5A8E" w:rsidRPr="008C5A8E" w:rsidRDefault="00270239" w:rsidP="008C5A8E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0.5 GPM Flow Rate Laminar Flow Restrictor being </w:t>
                  </w:r>
                  <w:r w:rsidR="00F4492D">
                    <w:rPr>
                      <w:rFonts w:cs="Arial"/>
                      <w:sz w:val="20"/>
                      <w:szCs w:val="20"/>
                    </w:rPr>
                    <w:t>installed on a 2.7 GPM Flow Rat</w:t>
                  </w:r>
                  <w:r>
                    <w:rPr>
                      <w:rFonts w:cs="Arial"/>
                      <w:sz w:val="20"/>
                      <w:szCs w:val="20"/>
                    </w:rPr>
                    <w:t>e Faucet Base Case</w:t>
                  </w:r>
                </w:p>
              </w:tc>
            </w:tr>
            <w:bookmarkEnd w:id="1"/>
            <w:tr w:rsidR="00270239" w14:paraId="7058ED37" w14:textId="77777777" w:rsidTr="00270239">
              <w:tc>
                <w:tcPr>
                  <w:tcW w:w="968" w:type="dxa"/>
                </w:tcPr>
                <w:p w14:paraId="7E30E69C" w14:textId="5138B2FF" w:rsidR="00270239" w:rsidRPr="008C5A8E" w:rsidRDefault="00B46393" w:rsidP="0027023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BW037</w:t>
                  </w:r>
                </w:p>
              </w:tc>
              <w:tc>
                <w:tcPr>
                  <w:tcW w:w="1322" w:type="dxa"/>
                </w:tcPr>
                <w:p w14:paraId="350BF552" w14:textId="462F7082" w:rsidR="00270239" w:rsidRDefault="00270239" w:rsidP="0027023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ShwFlr002</w:t>
                  </w:r>
                </w:p>
              </w:tc>
              <w:tc>
                <w:tcPr>
                  <w:tcW w:w="5040" w:type="dxa"/>
                </w:tcPr>
                <w:p w14:paraId="26CF0E00" w14:textId="11E46938" w:rsidR="00270239" w:rsidRDefault="00270239" w:rsidP="0027023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1.0 GPM Flow Rate Laminar Flow Restrictor being</w:t>
                  </w:r>
                  <w:r w:rsidR="00F4492D">
                    <w:rPr>
                      <w:rFonts w:cs="Arial"/>
                      <w:sz w:val="20"/>
                      <w:szCs w:val="20"/>
                    </w:rPr>
                    <w:t xml:space="preserve"> installed on a 2.7 GPM Flow Ra</w:t>
                  </w:r>
                  <w:r>
                    <w:rPr>
                      <w:rFonts w:cs="Arial"/>
                      <w:sz w:val="20"/>
                      <w:szCs w:val="20"/>
                    </w:rPr>
                    <w:t>te Faucet Base Case</w:t>
                  </w:r>
                </w:p>
              </w:tc>
            </w:tr>
            <w:tr w:rsidR="00270239" w14:paraId="618837EA" w14:textId="77777777" w:rsidTr="00270239">
              <w:tc>
                <w:tcPr>
                  <w:tcW w:w="968" w:type="dxa"/>
                </w:tcPr>
                <w:p w14:paraId="643DD0CA" w14:textId="3209A2FA" w:rsidR="00270239" w:rsidRPr="008C5A8E" w:rsidRDefault="00B46393" w:rsidP="0027023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BW038</w:t>
                  </w:r>
                </w:p>
              </w:tc>
              <w:tc>
                <w:tcPr>
                  <w:tcW w:w="1322" w:type="dxa"/>
                </w:tcPr>
                <w:p w14:paraId="327FBB5D" w14:textId="2F9A400C" w:rsidR="00270239" w:rsidRDefault="00270239" w:rsidP="0027023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ShwFlr003</w:t>
                  </w:r>
                </w:p>
              </w:tc>
              <w:tc>
                <w:tcPr>
                  <w:tcW w:w="5040" w:type="dxa"/>
                </w:tcPr>
                <w:p w14:paraId="69439A6D" w14:textId="308E1E65" w:rsidR="00270239" w:rsidRDefault="00270239" w:rsidP="0027023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1.5 GPM Flow Rate Laminar Flow Restrictor being</w:t>
                  </w:r>
                  <w:r w:rsidR="00F4492D">
                    <w:rPr>
                      <w:rFonts w:cs="Arial"/>
                      <w:sz w:val="20"/>
                      <w:szCs w:val="20"/>
                    </w:rPr>
                    <w:t xml:space="preserve"> installed on a 2.7 GPM Flow Ra</w:t>
                  </w:r>
                  <w:r>
                    <w:rPr>
                      <w:rFonts w:cs="Arial"/>
                      <w:sz w:val="20"/>
                      <w:szCs w:val="20"/>
                    </w:rPr>
                    <w:t>te Faucet Base Case</w:t>
                  </w:r>
                </w:p>
              </w:tc>
            </w:tr>
            <w:tr w:rsidR="00270239" w14:paraId="5865B3DF" w14:textId="77777777" w:rsidTr="00270239">
              <w:tc>
                <w:tcPr>
                  <w:tcW w:w="968" w:type="dxa"/>
                </w:tcPr>
                <w:p w14:paraId="57EFAFDA" w14:textId="48AC26C8" w:rsidR="00270239" w:rsidRPr="008C5A8E" w:rsidRDefault="00B46393" w:rsidP="0027023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BW039</w:t>
                  </w:r>
                </w:p>
              </w:tc>
              <w:tc>
                <w:tcPr>
                  <w:tcW w:w="1322" w:type="dxa"/>
                </w:tcPr>
                <w:p w14:paraId="213A108B" w14:textId="6CD2E38B" w:rsidR="00270239" w:rsidRDefault="00270239" w:rsidP="00270239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ShwFlr004</w:t>
                  </w:r>
                </w:p>
              </w:tc>
              <w:tc>
                <w:tcPr>
                  <w:tcW w:w="5040" w:type="dxa"/>
                </w:tcPr>
                <w:p w14:paraId="4B996FE0" w14:textId="0BB0559A" w:rsidR="00270239" w:rsidRDefault="00270239" w:rsidP="00270239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2.2 GPM Flow Rate Laminar Flow Restrictor being</w:t>
                  </w:r>
                  <w:r w:rsidR="00F4492D">
                    <w:rPr>
                      <w:rFonts w:cs="Arial"/>
                      <w:sz w:val="20"/>
                      <w:szCs w:val="20"/>
                    </w:rPr>
                    <w:t xml:space="preserve"> installed on a 2.7 GPM Flow Ra</w:t>
                  </w:r>
                  <w:r>
                    <w:rPr>
                      <w:rFonts w:cs="Arial"/>
                      <w:sz w:val="20"/>
                      <w:szCs w:val="20"/>
                    </w:rPr>
                    <w:t>te Faucet Base Case</w:t>
                  </w:r>
                </w:p>
              </w:tc>
            </w:tr>
          </w:tbl>
          <w:p w14:paraId="11A262CA" w14:textId="77777777" w:rsidR="008C5A8E" w:rsidRPr="00241A1F" w:rsidRDefault="008C5A8E" w:rsidP="008C5A8E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11A262CE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2CC" w14:textId="77777777" w:rsidR="00DB71F1" w:rsidRPr="001D77F7" w:rsidRDefault="00DB71F1" w:rsidP="002A7EFE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7938" w:type="dxa"/>
            <w:gridSpan w:val="2"/>
          </w:tcPr>
          <w:p w14:paraId="11A262CD" w14:textId="77777777"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14:paraId="11A262D1" w14:textId="77777777" w:rsidTr="004D66DF">
        <w:trPr>
          <w:cantSplit/>
        </w:trPr>
        <w:tc>
          <w:tcPr>
            <w:tcW w:w="1638" w:type="dxa"/>
            <w:gridSpan w:val="2"/>
          </w:tcPr>
          <w:p w14:paraId="11A262CF" w14:textId="77777777"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7938" w:type="dxa"/>
            <w:gridSpan w:val="2"/>
          </w:tcPr>
          <w:p w14:paraId="11A262D0" w14:textId="057FD20B" w:rsidR="008775D7" w:rsidRPr="00E6538A" w:rsidRDefault="00E6538A" w:rsidP="00E6538A">
            <w:pPr>
              <w:pStyle w:val="NoSpacing"/>
            </w:pPr>
            <w:r>
              <w:t>See Requirements</w:t>
            </w:r>
          </w:p>
        </w:tc>
      </w:tr>
      <w:tr w:rsidR="008775D7" w:rsidRPr="008775D7" w14:paraId="11A262D7" w14:textId="77777777" w:rsidTr="004D66DF">
        <w:trPr>
          <w:cantSplit/>
        </w:trPr>
        <w:tc>
          <w:tcPr>
            <w:tcW w:w="1638" w:type="dxa"/>
            <w:gridSpan w:val="2"/>
          </w:tcPr>
          <w:p w14:paraId="11A262D2" w14:textId="77777777"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7938" w:type="dxa"/>
            <w:gridSpan w:val="2"/>
          </w:tcPr>
          <w:p w14:paraId="11A262D3" w14:textId="660FFEAC" w:rsidR="00041DA6" w:rsidRPr="00A965B2" w:rsidRDefault="00D0497B" w:rsidP="00041D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cited per SCG wo</w:t>
            </w:r>
            <w:r w:rsidR="00041DA6" w:rsidRPr="00A965B2">
              <w:rPr>
                <w:sz w:val="20"/>
                <w:szCs w:val="20"/>
              </w:rPr>
              <w:t>rkpaper</w:t>
            </w:r>
          </w:p>
          <w:p w14:paraId="04187B6A" w14:textId="6E7B1E11" w:rsidR="00D0497B" w:rsidRPr="00067873" w:rsidRDefault="00270239" w:rsidP="00067873">
            <w:pPr>
              <w:pStyle w:val="ListParagraph"/>
              <w:numPr>
                <w:ilvl w:val="0"/>
                <w:numId w:val="26"/>
              </w:num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A code baseline would be the faucet flow rates stipulated in Title 20 of the California Code of Regulations Table H-1 with exceptions due to revision in 2016 as described in Section 1.4.2 of the SCG workpaper.</w:t>
            </w:r>
          </w:p>
          <w:p w14:paraId="11A262D6" w14:textId="58FC573C" w:rsidR="00D0497B" w:rsidRPr="00A965B2" w:rsidRDefault="00D0497B" w:rsidP="005F4AE2">
            <w:pPr>
              <w:rPr>
                <w:sz w:val="20"/>
                <w:szCs w:val="20"/>
              </w:rPr>
            </w:pPr>
          </w:p>
        </w:tc>
      </w:tr>
      <w:tr w:rsidR="00E84938" w14:paraId="11A262DD" w14:textId="77777777" w:rsidTr="004D66DF">
        <w:trPr>
          <w:cantSplit/>
        </w:trPr>
        <w:tc>
          <w:tcPr>
            <w:tcW w:w="1638" w:type="dxa"/>
            <w:gridSpan w:val="2"/>
          </w:tcPr>
          <w:p w14:paraId="11A262D8" w14:textId="77777777"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7938" w:type="dxa"/>
            <w:gridSpan w:val="2"/>
          </w:tcPr>
          <w:p w14:paraId="11A262D9" w14:textId="77777777" w:rsidR="00D36B0E" w:rsidRPr="00A965B2" w:rsidRDefault="00D36B0E" w:rsidP="00D36B0E">
            <w:pPr>
              <w:ind w:left="270"/>
              <w:rPr>
                <w:rFonts w:cs="Arial"/>
                <w:b/>
                <w:i/>
                <w:sz w:val="20"/>
                <w:szCs w:val="20"/>
              </w:rPr>
            </w:pPr>
            <w:r w:rsidRPr="00A965B2">
              <w:rPr>
                <w:rFonts w:cs="Arial"/>
                <w:b/>
                <w:i/>
                <w:sz w:val="20"/>
                <w:szCs w:val="20"/>
              </w:rPr>
              <w:t>Terms and Conditions</w:t>
            </w:r>
          </w:p>
          <w:p w14:paraId="4999AEC5" w14:textId="77777777" w:rsidR="00834B32" w:rsidRPr="003E54D5" w:rsidRDefault="00E6538A" w:rsidP="00834B32">
            <w:pPr>
              <w:pStyle w:val="NoSpacing"/>
              <w:numPr>
                <w:ilvl w:val="0"/>
                <w:numId w:val="19"/>
              </w:numPr>
            </w:pPr>
            <w:bookmarkStart w:id="2" w:name="_Hlk502140877"/>
            <w:r w:rsidRPr="003E54D5">
              <w:rPr>
                <w:b/>
              </w:rPr>
              <w:t>Eligibility requirements</w:t>
            </w:r>
            <w:r>
              <w:rPr>
                <w:b/>
              </w:rPr>
              <w:t xml:space="preserve"> (Measure)</w:t>
            </w:r>
            <w:r w:rsidRPr="003E54D5">
              <w:t>:</w:t>
            </w:r>
            <w:r w:rsidR="00834B32">
              <w:t xml:space="preserve">  Only LFR models labeled as “Vandal Proof” or are not removable without a proprietary tool are eligible, </w:t>
            </w:r>
            <w:proofErr w:type="gramStart"/>
            <w:r w:rsidR="00834B32">
              <w:t>with the exception of</w:t>
            </w:r>
            <w:proofErr w:type="gramEnd"/>
            <w:r w:rsidR="00834B32">
              <w:t xml:space="preserve"> dialysis and scrub sink locations.</w:t>
            </w:r>
          </w:p>
          <w:p w14:paraId="3F2EB7AD" w14:textId="0497B2D8" w:rsidR="00E6538A" w:rsidRPr="003E54D5" w:rsidRDefault="00834B32" w:rsidP="00E6538A">
            <w:pPr>
              <w:pStyle w:val="NoSpacing"/>
              <w:numPr>
                <w:ilvl w:val="0"/>
                <w:numId w:val="19"/>
              </w:numPr>
            </w:pPr>
            <w:r w:rsidRPr="003E54D5">
              <w:rPr>
                <w:b/>
              </w:rPr>
              <w:t>Eligibility requirements</w:t>
            </w:r>
            <w:r>
              <w:rPr>
                <w:b/>
              </w:rPr>
              <w:t xml:space="preserve"> (Baseline)</w:t>
            </w:r>
            <w:r w:rsidRPr="003E54D5">
              <w:t>:</w:t>
            </w:r>
            <w:r>
              <w:t xml:space="preserve"> Only</w:t>
            </w:r>
            <w:r w:rsidR="003B4639">
              <w:t xml:space="preserve"> </w:t>
            </w:r>
            <w:r w:rsidR="004664F4">
              <w:t>facilities utilizing gas powered water heating equipment with existing faucets that do not already have a flow restricting device installed.</w:t>
            </w:r>
            <w:r>
              <w:t xml:space="preserve">   </w:t>
            </w:r>
            <w:r w:rsidR="004C6CB2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bookmarkEnd w:id="2"/>
          <w:p w14:paraId="11A262DC" w14:textId="09712771" w:rsidR="00BD7ED5" w:rsidRPr="00E6538A" w:rsidRDefault="00E6538A" w:rsidP="00834B32">
            <w:pPr>
              <w:pStyle w:val="NoSpacing"/>
              <w:numPr>
                <w:ilvl w:val="0"/>
                <w:numId w:val="19"/>
              </w:numPr>
            </w:pPr>
            <w:r w:rsidRPr="003E54D5">
              <w:rPr>
                <w:b/>
              </w:rPr>
              <w:t>Implementation and installation requirements</w:t>
            </w:r>
            <w:r w:rsidR="00736717">
              <w:t>: New Construction is not eligible.</w:t>
            </w:r>
            <w:r w:rsidR="00834B32">
              <w:t xml:space="preserve"> Products installed must meet Office of Statewide Health Planning and Development (OSHPD) code and regulations.</w:t>
            </w:r>
          </w:p>
        </w:tc>
      </w:tr>
      <w:tr w:rsidR="00DB71F1" w14:paraId="11A262E0" w14:textId="77777777" w:rsidTr="004D66DF">
        <w:trPr>
          <w:cantSplit/>
        </w:trPr>
        <w:tc>
          <w:tcPr>
            <w:tcW w:w="1638" w:type="dxa"/>
            <w:gridSpan w:val="2"/>
          </w:tcPr>
          <w:p w14:paraId="11A262DE" w14:textId="77777777" w:rsidR="00DB71F1" w:rsidRPr="001D77F7" w:rsidRDefault="00DB71F1" w:rsidP="002A7EFE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7938" w:type="dxa"/>
            <w:gridSpan w:val="2"/>
          </w:tcPr>
          <w:p w14:paraId="11A262DF" w14:textId="77777777" w:rsidR="00DB71F1" w:rsidRPr="00D86243" w:rsidRDefault="00DB71F1" w:rsidP="002A7EFE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11A262E3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2E1" w14:textId="77777777" w:rsidR="00DB71F1" w:rsidRPr="00822B6F" w:rsidRDefault="00DB71F1" w:rsidP="002A7EF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7938" w:type="dxa"/>
            <w:gridSpan w:val="2"/>
          </w:tcPr>
          <w:p w14:paraId="11A262E2" w14:textId="76AC0926" w:rsidR="00CF2ABA" w:rsidRPr="00F6244F" w:rsidRDefault="00AB00CA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sz w:val="20"/>
                <w:szCs w:val="20"/>
              </w:rPr>
              <w:t>REA</w:t>
            </w:r>
          </w:p>
        </w:tc>
      </w:tr>
      <w:tr w:rsidR="00DB71F1" w14:paraId="11A262E6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2E4" w14:textId="77777777" w:rsidR="00DB71F1" w:rsidRPr="00822B6F" w:rsidRDefault="00DB71F1" w:rsidP="002A7EF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lastRenderedPageBreak/>
              <w:t>Delivery Mechanisms</w:t>
            </w:r>
          </w:p>
        </w:tc>
        <w:tc>
          <w:tcPr>
            <w:tcW w:w="7938" w:type="dxa"/>
            <w:gridSpan w:val="2"/>
          </w:tcPr>
          <w:p w14:paraId="22201A6B" w14:textId="10CB80AA" w:rsidR="00B9551F" w:rsidRDefault="00DB71F1" w:rsidP="00076614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  <w:r w:rsidR="00756DC8">
              <w:rPr>
                <w:rFonts w:cs="Arial"/>
                <w:sz w:val="20"/>
                <w:szCs w:val="20"/>
              </w:rPr>
              <w:t xml:space="preserve"> </w:t>
            </w:r>
          </w:p>
          <w:p w14:paraId="6964487E" w14:textId="5423BE59" w:rsidR="00AB00CA" w:rsidRDefault="00AB00CA" w:rsidP="0007661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Direct Install</w:t>
            </w:r>
          </w:p>
          <w:p w14:paraId="77167193" w14:textId="2820E7E4" w:rsidR="008365EB" w:rsidRDefault="008365EB" w:rsidP="00076614">
            <w:pPr>
              <w:rPr>
                <w:rFonts w:cs="Arial"/>
                <w:sz w:val="20"/>
                <w:szCs w:val="20"/>
              </w:rPr>
            </w:pPr>
          </w:p>
          <w:p w14:paraId="11A262E5" w14:textId="1289BDD7" w:rsidR="008365EB" w:rsidRPr="00FE636E" w:rsidRDefault="008365EB" w:rsidP="00076614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14:paraId="11A262E9" w14:textId="77777777" w:rsidTr="004D66DF">
        <w:trPr>
          <w:cantSplit/>
        </w:trPr>
        <w:tc>
          <w:tcPr>
            <w:tcW w:w="1638" w:type="dxa"/>
            <w:gridSpan w:val="2"/>
          </w:tcPr>
          <w:p w14:paraId="11A262E7" w14:textId="77777777" w:rsidR="00DB71F1" w:rsidRPr="001D77F7" w:rsidRDefault="00DB71F1" w:rsidP="002A7EFE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7938" w:type="dxa"/>
            <w:gridSpan w:val="2"/>
          </w:tcPr>
          <w:p w14:paraId="11A262E8" w14:textId="77777777" w:rsidR="00DB71F1" w:rsidRDefault="00DB71F1" w:rsidP="002A7EFE"/>
        </w:tc>
      </w:tr>
      <w:tr w:rsidR="00A61271" w14:paraId="11A262EC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2EA" w14:textId="77777777" w:rsidR="00A61271" w:rsidRPr="00D3336A" w:rsidRDefault="00A61271" w:rsidP="002A7EFE">
            <w:pPr>
              <w:jc w:val="right"/>
              <w:rPr>
                <w:sz w:val="20"/>
                <w:szCs w:val="20"/>
              </w:rPr>
            </w:pPr>
            <w:r w:rsidRPr="00D3336A">
              <w:rPr>
                <w:sz w:val="20"/>
                <w:szCs w:val="20"/>
              </w:rPr>
              <w:t>Net-to-Gross Ratio</w:t>
            </w:r>
          </w:p>
        </w:tc>
        <w:tc>
          <w:tcPr>
            <w:tcW w:w="7938" w:type="dxa"/>
            <w:gridSpan w:val="2"/>
          </w:tcPr>
          <w:p w14:paraId="01C570A7" w14:textId="18FDE957" w:rsidR="00A61271" w:rsidRDefault="00A61271" w:rsidP="00D3336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1"/>
              <w:tblW w:w="4374" w:type="pct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908"/>
              <w:gridCol w:w="1981"/>
              <w:gridCol w:w="631"/>
              <w:gridCol w:w="990"/>
              <w:gridCol w:w="1530"/>
              <w:gridCol w:w="706"/>
            </w:tblGrid>
            <w:tr w:rsidR="00196511" w:rsidRPr="00500C4E" w14:paraId="2A42E5CD" w14:textId="77777777" w:rsidTr="00196511">
              <w:trPr>
                <w:jc w:val="center"/>
              </w:trPr>
              <w:tc>
                <w:tcPr>
                  <w:tcW w:w="673" w:type="pct"/>
                  <w:shd w:val="clear" w:color="auto" w:fill="D9D9D9" w:themeFill="background1" w:themeFillShade="D9"/>
                </w:tcPr>
                <w:p w14:paraId="54F0C1DF" w14:textId="77777777" w:rsidR="00AB00CA" w:rsidRPr="00920905" w:rsidRDefault="00AB00CA" w:rsidP="00AB00CA">
                  <w:pPr>
                    <w:rPr>
                      <w:rFonts w:cstheme="minorHAnsi"/>
                      <w:b/>
                      <w:szCs w:val="20"/>
                    </w:rPr>
                  </w:pPr>
                  <w:r w:rsidRPr="00920905">
                    <w:rPr>
                      <w:rFonts w:cstheme="minorHAnsi"/>
                      <w:b/>
                      <w:szCs w:val="20"/>
                    </w:rPr>
                    <w:t>NTG</w:t>
                  </w:r>
                  <w:r>
                    <w:rPr>
                      <w:rFonts w:cstheme="minorHAnsi"/>
                      <w:b/>
                      <w:szCs w:val="20"/>
                    </w:rPr>
                    <w:t>R ID</w:t>
                  </w:r>
                </w:p>
              </w:tc>
              <w:tc>
                <w:tcPr>
                  <w:tcW w:w="1468" w:type="pct"/>
                  <w:shd w:val="clear" w:color="auto" w:fill="D9D9D9" w:themeFill="background1" w:themeFillShade="D9"/>
                </w:tcPr>
                <w:p w14:paraId="334A7C4D" w14:textId="77777777" w:rsidR="00AB00CA" w:rsidRPr="00920905" w:rsidRDefault="00AB00CA" w:rsidP="00AB00CA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Description</w:t>
                  </w:r>
                </w:p>
              </w:tc>
              <w:tc>
                <w:tcPr>
                  <w:tcW w:w="468" w:type="pct"/>
                  <w:shd w:val="clear" w:color="auto" w:fill="D9D9D9" w:themeFill="background1" w:themeFillShade="D9"/>
                </w:tcPr>
                <w:p w14:paraId="4B8F6C37" w14:textId="4A636991" w:rsidR="00AB00CA" w:rsidRPr="00920905" w:rsidRDefault="00AB00CA" w:rsidP="00AB00CA">
                  <w:pPr>
                    <w:rPr>
                      <w:rFonts w:cstheme="minorHAnsi"/>
                      <w:b/>
                      <w:szCs w:val="20"/>
                    </w:rPr>
                  </w:pPr>
                  <w:r w:rsidRPr="00920905">
                    <w:rPr>
                      <w:rFonts w:cstheme="minorHAnsi"/>
                      <w:b/>
                      <w:szCs w:val="20"/>
                    </w:rPr>
                    <w:t>Sec</w:t>
                  </w:r>
                  <w:r w:rsidR="00196511">
                    <w:rPr>
                      <w:rFonts w:cstheme="minorHAnsi"/>
                      <w:b/>
                      <w:szCs w:val="20"/>
                    </w:rPr>
                    <w:t>-</w:t>
                  </w:r>
                  <w:r w:rsidRPr="00920905">
                    <w:rPr>
                      <w:rFonts w:cstheme="minorHAnsi"/>
                      <w:b/>
                      <w:szCs w:val="20"/>
                    </w:rPr>
                    <w:t>tor</w:t>
                  </w:r>
                </w:p>
              </w:tc>
              <w:tc>
                <w:tcPr>
                  <w:tcW w:w="734" w:type="pct"/>
                  <w:shd w:val="clear" w:color="auto" w:fill="D9D9D9" w:themeFill="background1" w:themeFillShade="D9"/>
                </w:tcPr>
                <w:p w14:paraId="58375671" w14:textId="77777777" w:rsidR="00AB00CA" w:rsidRPr="00920905" w:rsidRDefault="00AB00CA" w:rsidP="00AB00CA">
                  <w:pPr>
                    <w:rPr>
                      <w:rFonts w:cstheme="minorHAnsi"/>
                      <w:b/>
                      <w:szCs w:val="20"/>
                    </w:rPr>
                  </w:pPr>
                  <w:proofErr w:type="spellStart"/>
                  <w:r w:rsidRPr="00920905">
                    <w:rPr>
                      <w:rFonts w:cstheme="minorHAnsi"/>
                      <w:b/>
                      <w:szCs w:val="20"/>
                    </w:rPr>
                    <w:t>BldgType</w:t>
                  </w:r>
                  <w:proofErr w:type="spellEnd"/>
                </w:p>
              </w:tc>
              <w:tc>
                <w:tcPr>
                  <w:tcW w:w="1134" w:type="pct"/>
                  <w:shd w:val="clear" w:color="auto" w:fill="D9D9D9" w:themeFill="background1" w:themeFillShade="D9"/>
                </w:tcPr>
                <w:p w14:paraId="5DFC0C6F" w14:textId="77777777" w:rsidR="00AB00CA" w:rsidRPr="00920905" w:rsidRDefault="00AB00CA" w:rsidP="00AB00CA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Measure Delivery</w:t>
                  </w:r>
                </w:p>
              </w:tc>
              <w:tc>
                <w:tcPr>
                  <w:tcW w:w="523" w:type="pct"/>
                  <w:shd w:val="clear" w:color="auto" w:fill="D9D9D9" w:themeFill="background1" w:themeFillShade="D9"/>
                </w:tcPr>
                <w:p w14:paraId="2975E0EE" w14:textId="77777777" w:rsidR="00AB00CA" w:rsidRPr="00920905" w:rsidRDefault="00AB00CA" w:rsidP="00AB00CA">
                  <w:pPr>
                    <w:rPr>
                      <w:rFonts w:cstheme="minorHAnsi"/>
                      <w:b/>
                      <w:szCs w:val="20"/>
                    </w:rPr>
                  </w:pPr>
                  <w:r w:rsidRPr="00920905">
                    <w:rPr>
                      <w:rFonts w:cstheme="minorHAnsi"/>
                      <w:b/>
                      <w:szCs w:val="20"/>
                    </w:rPr>
                    <w:t>NTG</w:t>
                  </w:r>
                  <w:r>
                    <w:rPr>
                      <w:rFonts w:cstheme="minorHAnsi"/>
                      <w:b/>
                      <w:szCs w:val="20"/>
                    </w:rPr>
                    <w:t>R</w:t>
                  </w:r>
                </w:p>
              </w:tc>
            </w:tr>
            <w:tr w:rsidR="00196511" w:rsidRPr="00500C4E" w14:paraId="7D59DEC4" w14:textId="77777777" w:rsidTr="00196511">
              <w:trPr>
                <w:jc w:val="center"/>
              </w:trPr>
              <w:tc>
                <w:tcPr>
                  <w:tcW w:w="673" w:type="pct"/>
                </w:tcPr>
                <w:p w14:paraId="6376AD0E" w14:textId="74F36CD7" w:rsidR="00AB00CA" w:rsidRPr="000C297E" w:rsidRDefault="00196511" w:rsidP="00AB00CA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Com-Default&gt;2yrs</w:t>
                  </w:r>
                </w:p>
              </w:tc>
              <w:tc>
                <w:tcPr>
                  <w:tcW w:w="1468" w:type="pct"/>
                </w:tcPr>
                <w:p w14:paraId="5AD9EC25" w14:textId="40FC626C" w:rsidR="00AB00CA" w:rsidRPr="000C297E" w:rsidRDefault="00196511" w:rsidP="00AB00CA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N</w:t>
                  </w:r>
                  <w:r w:rsidR="00AB00CA" w:rsidRPr="000C297E">
                    <w:rPr>
                      <w:szCs w:val="20"/>
                    </w:rPr>
                    <w:t>ew tech</w:t>
                  </w:r>
                  <w:r w:rsidR="005C377A">
                    <w:rPr>
                      <w:szCs w:val="20"/>
                    </w:rPr>
                    <w:t>nology in program for 2 or more</w:t>
                  </w:r>
                  <w:r w:rsidR="00AB00CA" w:rsidRPr="000C297E">
                    <w:rPr>
                      <w:szCs w:val="20"/>
                    </w:rPr>
                    <w:t xml:space="preserve"> years</w:t>
                  </w:r>
                </w:p>
              </w:tc>
              <w:tc>
                <w:tcPr>
                  <w:tcW w:w="468" w:type="pct"/>
                </w:tcPr>
                <w:p w14:paraId="75451D28" w14:textId="77777777" w:rsidR="00AB00CA" w:rsidRPr="008C529F" w:rsidRDefault="00AB00CA" w:rsidP="00AB00CA">
                  <w:pPr>
                    <w:rPr>
                      <w:szCs w:val="20"/>
                    </w:rPr>
                  </w:pPr>
                  <w:r w:rsidRPr="008C529F">
                    <w:rPr>
                      <w:szCs w:val="20"/>
                    </w:rPr>
                    <w:t>Com</w:t>
                  </w:r>
                </w:p>
              </w:tc>
              <w:tc>
                <w:tcPr>
                  <w:tcW w:w="734" w:type="pct"/>
                </w:tcPr>
                <w:p w14:paraId="777C7FF0" w14:textId="77777777" w:rsidR="00AB00CA" w:rsidRPr="008C529F" w:rsidRDefault="00AB00CA" w:rsidP="00AB00CA">
                  <w:pPr>
                    <w:rPr>
                      <w:szCs w:val="20"/>
                    </w:rPr>
                  </w:pPr>
                  <w:proofErr w:type="spellStart"/>
                  <w:r w:rsidRPr="008C529F">
                    <w:rPr>
                      <w:szCs w:val="20"/>
                    </w:rPr>
                    <w:t>Cnc</w:t>
                  </w:r>
                  <w:proofErr w:type="spellEnd"/>
                  <w:r>
                    <w:rPr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Cs w:val="20"/>
                    </w:rPr>
                    <w:t>Hsp</w:t>
                  </w:r>
                  <w:proofErr w:type="spellEnd"/>
                  <w:r>
                    <w:rPr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szCs w:val="20"/>
                    </w:rPr>
                    <w:t>Nrs</w:t>
                  </w:r>
                  <w:proofErr w:type="spellEnd"/>
                </w:p>
              </w:tc>
              <w:tc>
                <w:tcPr>
                  <w:tcW w:w="1134" w:type="pct"/>
                </w:tcPr>
                <w:p w14:paraId="7E45167D" w14:textId="227BCA3D" w:rsidR="00AB00CA" w:rsidRPr="000C297E" w:rsidRDefault="00AB00CA" w:rsidP="00AB00CA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Prescriptive Rebate (</w:t>
                  </w:r>
                  <w:proofErr w:type="spellStart"/>
                  <w:r>
                    <w:rPr>
                      <w:szCs w:val="20"/>
                    </w:rPr>
                    <w:t>PreReb</w:t>
                  </w:r>
                  <w:r w:rsidR="00196511">
                    <w:rPr>
                      <w:szCs w:val="20"/>
                    </w:rPr>
                    <w:t>Down</w:t>
                  </w:r>
                  <w:proofErr w:type="spellEnd"/>
                  <w:r w:rsidR="00196511">
                    <w:rPr>
                      <w:szCs w:val="20"/>
                    </w:rPr>
                    <w:t xml:space="preserve"> and </w:t>
                  </w:r>
                  <w:proofErr w:type="spellStart"/>
                  <w:r w:rsidR="00196511">
                    <w:rPr>
                      <w:szCs w:val="20"/>
                    </w:rPr>
                    <w:t>DirInstall</w:t>
                  </w:r>
                  <w:proofErr w:type="spellEnd"/>
                  <w:r>
                    <w:rPr>
                      <w:szCs w:val="20"/>
                    </w:rPr>
                    <w:t>)</w:t>
                  </w:r>
                  <w:r w:rsidR="00196511">
                    <w:rPr>
                      <w:szCs w:val="20"/>
                    </w:rPr>
                    <w:t xml:space="preserve"> </w:t>
                  </w:r>
                </w:p>
              </w:tc>
              <w:tc>
                <w:tcPr>
                  <w:tcW w:w="523" w:type="pct"/>
                </w:tcPr>
                <w:p w14:paraId="3B7CC6CD" w14:textId="0A43CAF3" w:rsidR="00AB00CA" w:rsidRPr="000C297E" w:rsidRDefault="006E2FD6" w:rsidP="00AB00CA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0.6</w:t>
                  </w:r>
                </w:p>
                <w:p w14:paraId="3CE37705" w14:textId="77777777" w:rsidR="00AB00CA" w:rsidRPr="000C297E" w:rsidRDefault="00AB00CA" w:rsidP="00AB00CA">
                  <w:pPr>
                    <w:rPr>
                      <w:szCs w:val="20"/>
                    </w:rPr>
                  </w:pPr>
                </w:p>
              </w:tc>
            </w:tr>
          </w:tbl>
          <w:p w14:paraId="11A262EB" w14:textId="13C4D8FF" w:rsidR="00AB00CA" w:rsidRPr="00D3336A" w:rsidRDefault="00AB00CA" w:rsidP="00D3336A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11A262FF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2ED" w14:textId="77777777" w:rsidR="00A61271" w:rsidRPr="00822B6F" w:rsidRDefault="00A61271" w:rsidP="002A7EFE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7938" w:type="dxa"/>
            <w:gridSpan w:val="2"/>
          </w:tcPr>
          <w:p w14:paraId="11A262EE" w14:textId="77777777" w:rsidR="0051536D" w:rsidRDefault="0051536D">
            <w:pPr>
              <w:tabs>
                <w:tab w:val="right" w:pos="6732"/>
              </w:tabs>
              <w:rPr>
                <w:rFonts w:cstheme="minorHAnsi"/>
                <w:szCs w:val="20"/>
              </w:rPr>
            </w:pPr>
          </w:p>
          <w:tbl>
            <w:tblPr>
              <w:tblStyle w:val="TableGrid1"/>
              <w:tblW w:w="4307" w:type="pct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67"/>
              <w:gridCol w:w="1058"/>
              <w:gridCol w:w="810"/>
              <w:gridCol w:w="1350"/>
              <w:gridCol w:w="1213"/>
              <w:gridCol w:w="1145"/>
            </w:tblGrid>
            <w:tr w:rsidR="00C243EE" w:rsidRPr="00500C4E" w14:paraId="6C4DDDDD" w14:textId="77777777" w:rsidTr="00196511">
              <w:trPr>
                <w:jc w:val="center"/>
              </w:trPr>
              <w:tc>
                <w:tcPr>
                  <w:tcW w:w="803" w:type="pct"/>
                  <w:shd w:val="clear" w:color="auto" w:fill="D9D9D9" w:themeFill="background1" w:themeFillShade="D9"/>
                </w:tcPr>
                <w:p w14:paraId="2BC777B5" w14:textId="334EEB83" w:rsidR="00C243EE" w:rsidRPr="00920905" w:rsidRDefault="00196511" w:rsidP="00C243EE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EUL_</w:t>
                  </w:r>
                  <w:r w:rsidR="00C243EE" w:rsidRPr="00920905">
                    <w:rPr>
                      <w:rFonts w:cstheme="minorHAnsi"/>
                      <w:b/>
                      <w:szCs w:val="20"/>
                    </w:rPr>
                    <w:t>ID</w:t>
                  </w:r>
                </w:p>
              </w:tc>
              <w:tc>
                <w:tcPr>
                  <w:tcW w:w="796" w:type="pct"/>
                  <w:shd w:val="clear" w:color="auto" w:fill="D9D9D9" w:themeFill="background1" w:themeFillShade="D9"/>
                </w:tcPr>
                <w:p w14:paraId="1E481E1E" w14:textId="5B2AB9D2" w:rsidR="00C243EE" w:rsidRPr="00920905" w:rsidRDefault="00196511" w:rsidP="00C243EE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RUL_ID</w:t>
                  </w:r>
                </w:p>
              </w:tc>
              <w:tc>
                <w:tcPr>
                  <w:tcW w:w="610" w:type="pct"/>
                  <w:shd w:val="clear" w:color="auto" w:fill="D9D9D9" w:themeFill="background1" w:themeFillShade="D9"/>
                </w:tcPr>
                <w:p w14:paraId="4FB823B0" w14:textId="77777777" w:rsidR="00C243EE" w:rsidRPr="00920905" w:rsidRDefault="00C243EE" w:rsidP="00C243EE">
                  <w:pPr>
                    <w:rPr>
                      <w:rFonts w:cstheme="minorHAnsi"/>
                      <w:b/>
                      <w:szCs w:val="20"/>
                    </w:rPr>
                  </w:pPr>
                  <w:r w:rsidRPr="00920905">
                    <w:rPr>
                      <w:rFonts w:cstheme="minorHAnsi"/>
                      <w:b/>
                      <w:szCs w:val="20"/>
                    </w:rPr>
                    <w:t>Sector</w:t>
                  </w:r>
                </w:p>
              </w:tc>
              <w:tc>
                <w:tcPr>
                  <w:tcW w:w="1016" w:type="pct"/>
                  <w:shd w:val="clear" w:color="auto" w:fill="D9D9D9" w:themeFill="background1" w:themeFillShade="D9"/>
                </w:tcPr>
                <w:p w14:paraId="663DF904" w14:textId="77777777" w:rsidR="00C243EE" w:rsidRPr="00920905" w:rsidRDefault="00C243EE" w:rsidP="00C243EE">
                  <w:pPr>
                    <w:rPr>
                      <w:rFonts w:cstheme="minorHAnsi"/>
                      <w:b/>
                      <w:szCs w:val="20"/>
                    </w:rPr>
                  </w:pPr>
                  <w:proofErr w:type="spellStart"/>
                  <w:r w:rsidRPr="00920905">
                    <w:rPr>
                      <w:rFonts w:cstheme="minorHAnsi"/>
                      <w:b/>
                      <w:szCs w:val="20"/>
                    </w:rPr>
                    <w:t>UseCategory</w:t>
                  </w:r>
                  <w:proofErr w:type="spellEnd"/>
                </w:p>
              </w:tc>
              <w:tc>
                <w:tcPr>
                  <w:tcW w:w="913" w:type="pct"/>
                  <w:shd w:val="clear" w:color="auto" w:fill="D9D9D9" w:themeFill="background1" w:themeFillShade="D9"/>
                </w:tcPr>
                <w:p w14:paraId="728705BC" w14:textId="77777777" w:rsidR="00C243EE" w:rsidRPr="00920905" w:rsidRDefault="00C243EE" w:rsidP="00C243EE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 xml:space="preserve">EUL </w:t>
                  </w:r>
                  <w:r w:rsidRPr="00920905">
                    <w:rPr>
                      <w:rFonts w:cstheme="minorHAnsi"/>
                      <w:b/>
                      <w:szCs w:val="20"/>
                    </w:rPr>
                    <w:t>(Years)</w:t>
                  </w:r>
                </w:p>
              </w:tc>
              <w:tc>
                <w:tcPr>
                  <w:tcW w:w="862" w:type="pct"/>
                  <w:shd w:val="clear" w:color="auto" w:fill="D9D9D9" w:themeFill="background1" w:themeFillShade="D9"/>
                </w:tcPr>
                <w:p w14:paraId="40F40418" w14:textId="77777777" w:rsidR="00C243EE" w:rsidRPr="00920905" w:rsidRDefault="00C243EE" w:rsidP="00C243EE">
                  <w:pPr>
                    <w:rPr>
                      <w:rFonts w:cstheme="minorHAnsi"/>
                      <w:b/>
                      <w:szCs w:val="20"/>
                    </w:rPr>
                  </w:pPr>
                  <w:r w:rsidRPr="00920905">
                    <w:rPr>
                      <w:rFonts w:cstheme="minorHAnsi"/>
                      <w:b/>
                      <w:szCs w:val="20"/>
                    </w:rPr>
                    <w:t>RUL</w:t>
                  </w:r>
                  <w:r>
                    <w:rPr>
                      <w:rFonts w:cstheme="minorHAnsi"/>
                      <w:b/>
                      <w:szCs w:val="20"/>
                    </w:rPr>
                    <w:t xml:space="preserve"> </w:t>
                  </w:r>
                  <w:r w:rsidRPr="00920905">
                    <w:rPr>
                      <w:rFonts w:cstheme="minorHAnsi"/>
                      <w:b/>
                      <w:szCs w:val="20"/>
                    </w:rPr>
                    <w:t>(Years)</w:t>
                  </w:r>
                </w:p>
              </w:tc>
            </w:tr>
            <w:tr w:rsidR="00C243EE" w:rsidRPr="00500C4E" w14:paraId="7730911E" w14:textId="77777777" w:rsidTr="00196511">
              <w:trPr>
                <w:trHeight w:val="243"/>
                <w:jc w:val="center"/>
              </w:trPr>
              <w:tc>
                <w:tcPr>
                  <w:tcW w:w="803" w:type="pct"/>
                </w:tcPr>
                <w:p w14:paraId="02455CA1" w14:textId="7BC843D9" w:rsidR="00C243EE" w:rsidRPr="00500C4E" w:rsidRDefault="00C243EE" w:rsidP="00C243EE">
                  <w:pPr>
                    <w:rPr>
                      <w:color w:val="FF0000"/>
                      <w:szCs w:val="20"/>
                    </w:rPr>
                  </w:pPr>
                  <w:proofErr w:type="spellStart"/>
                  <w:r w:rsidRPr="003A377E">
                    <w:rPr>
                      <w:szCs w:val="20"/>
                    </w:rPr>
                    <w:t>WtrHt</w:t>
                  </w:r>
                  <w:proofErr w:type="spellEnd"/>
                  <w:r w:rsidRPr="003A377E">
                    <w:rPr>
                      <w:szCs w:val="20"/>
                    </w:rPr>
                    <w:t>-WH-</w:t>
                  </w:r>
                  <w:proofErr w:type="spellStart"/>
                  <w:r w:rsidR="00196511">
                    <w:rPr>
                      <w:szCs w:val="20"/>
                    </w:rPr>
                    <w:t>Aertr</w:t>
                  </w:r>
                  <w:proofErr w:type="spellEnd"/>
                </w:p>
              </w:tc>
              <w:tc>
                <w:tcPr>
                  <w:tcW w:w="796" w:type="pct"/>
                </w:tcPr>
                <w:p w14:paraId="39FF2AFC" w14:textId="2E034A4C" w:rsidR="00C243EE" w:rsidRPr="00B3314C" w:rsidRDefault="00196511" w:rsidP="00C243EE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HVAC-</w:t>
                  </w:r>
                  <w:proofErr w:type="spellStart"/>
                  <w:r>
                    <w:rPr>
                      <w:szCs w:val="20"/>
                    </w:rPr>
                    <w:t>Blr</w:t>
                  </w:r>
                  <w:proofErr w:type="spellEnd"/>
                </w:p>
              </w:tc>
              <w:tc>
                <w:tcPr>
                  <w:tcW w:w="610" w:type="pct"/>
                </w:tcPr>
                <w:p w14:paraId="0D20DC9F" w14:textId="77777777" w:rsidR="00C243EE" w:rsidRPr="00B3314C" w:rsidRDefault="00C243EE" w:rsidP="00C243EE">
                  <w:pPr>
                    <w:rPr>
                      <w:szCs w:val="20"/>
                    </w:rPr>
                  </w:pPr>
                  <w:r w:rsidRPr="00B3314C">
                    <w:rPr>
                      <w:szCs w:val="20"/>
                    </w:rPr>
                    <w:t>Com</w:t>
                  </w:r>
                </w:p>
              </w:tc>
              <w:tc>
                <w:tcPr>
                  <w:tcW w:w="1016" w:type="pct"/>
                </w:tcPr>
                <w:p w14:paraId="40BC666D" w14:textId="77777777" w:rsidR="00C243EE" w:rsidRPr="00B3314C" w:rsidRDefault="00C243EE" w:rsidP="00C243EE">
                  <w:pPr>
                    <w:rPr>
                      <w:szCs w:val="20"/>
                    </w:rPr>
                  </w:pPr>
                  <w:proofErr w:type="spellStart"/>
                  <w:r w:rsidRPr="00B3314C">
                    <w:rPr>
                      <w:szCs w:val="20"/>
                    </w:rPr>
                    <w:t>Shw</w:t>
                  </w:r>
                  <w:proofErr w:type="spellEnd"/>
                </w:p>
              </w:tc>
              <w:tc>
                <w:tcPr>
                  <w:tcW w:w="913" w:type="pct"/>
                </w:tcPr>
                <w:p w14:paraId="16B232F3" w14:textId="77777777" w:rsidR="00C243EE" w:rsidRPr="00B3314C" w:rsidRDefault="00C243EE" w:rsidP="00C243EE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2</w:t>
                  </w:r>
                  <w:r w:rsidRPr="00B3314C">
                    <w:rPr>
                      <w:szCs w:val="20"/>
                    </w:rPr>
                    <w:t>0</w:t>
                  </w:r>
                </w:p>
              </w:tc>
              <w:tc>
                <w:tcPr>
                  <w:tcW w:w="862" w:type="pct"/>
                </w:tcPr>
                <w:p w14:paraId="4D595577" w14:textId="77777777" w:rsidR="00C243EE" w:rsidRPr="00B3314C" w:rsidRDefault="00C243EE" w:rsidP="00C243EE">
                  <w:pPr>
                    <w:rPr>
                      <w:szCs w:val="20"/>
                    </w:rPr>
                  </w:pPr>
                  <w:r w:rsidRPr="00B3314C">
                    <w:rPr>
                      <w:szCs w:val="20"/>
                    </w:rPr>
                    <w:t>6.67</w:t>
                  </w:r>
                </w:p>
              </w:tc>
            </w:tr>
          </w:tbl>
          <w:p w14:paraId="11A262FE" w14:textId="77777777" w:rsidR="0051536D" w:rsidRPr="00D86243" w:rsidRDefault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14:paraId="11A26302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300" w14:textId="77777777" w:rsidR="00A61271" w:rsidRPr="001D77F7" w:rsidRDefault="00A61271" w:rsidP="002A7EFE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7938" w:type="dxa"/>
            <w:gridSpan w:val="2"/>
            <w:vAlign w:val="center"/>
          </w:tcPr>
          <w:p w14:paraId="11A26301" w14:textId="18259531" w:rsidR="00A61271" w:rsidRPr="00241A1F" w:rsidRDefault="000371A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cited per SCG workpaper</w:t>
            </w:r>
          </w:p>
        </w:tc>
      </w:tr>
      <w:tr w:rsidR="00A61271" w14:paraId="11A26337" w14:textId="77777777" w:rsidTr="004D66DF">
        <w:trPr>
          <w:cantSplit/>
        </w:trPr>
        <w:tc>
          <w:tcPr>
            <w:tcW w:w="1638" w:type="dxa"/>
            <w:gridSpan w:val="2"/>
            <w:vAlign w:val="center"/>
          </w:tcPr>
          <w:p w14:paraId="11A26303" w14:textId="77777777"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lastRenderedPageBreak/>
              <w:t>Energy Savings/Peak Demand Reduction – All Measures</w:t>
            </w:r>
          </w:p>
        </w:tc>
        <w:tc>
          <w:tcPr>
            <w:tcW w:w="7938" w:type="dxa"/>
            <w:gridSpan w:val="2"/>
          </w:tcPr>
          <w:p w14:paraId="11A26304" w14:textId="176784FA" w:rsidR="00D84702" w:rsidRDefault="0006116B" w:rsidP="00D847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 cited in SCG</w:t>
            </w:r>
            <w:r w:rsidR="00D84702" w:rsidRPr="00A965B2">
              <w:rPr>
                <w:b/>
                <w:sz w:val="20"/>
                <w:szCs w:val="20"/>
              </w:rPr>
              <w:t>’s workpaper the Savings are:</w:t>
            </w:r>
          </w:p>
          <w:p w14:paraId="79652590" w14:textId="77777777" w:rsidR="004D66DF" w:rsidRDefault="004D66DF" w:rsidP="00D84702">
            <w:pPr>
              <w:rPr>
                <w:b/>
                <w:sz w:val="20"/>
                <w:szCs w:val="20"/>
              </w:rPr>
            </w:pPr>
          </w:p>
          <w:p w14:paraId="700D368F" w14:textId="77777777" w:rsidR="004D66DF" w:rsidRPr="00555671" w:rsidRDefault="008E699A" w:rsidP="00814F9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tbl>
            <w:tblPr>
              <w:tblW w:w="8049" w:type="dxa"/>
              <w:tblLayout w:type="fixed"/>
              <w:tblLook w:val="04A0" w:firstRow="1" w:lastRow="0" w:firstColumn="1" w:lastColumn="0" w:noHBand="0" w:noVBand="1"/>
            </w:tblPr>
            <w:tblGrid>
              <w:gridCol w:w="1890"/>
              <w:gridCol w:w="1125"/>
              <w:gridCol w:w="1029"/>
              <w:gridCol w:w="990"/>
              <w:gridCol w:w="900"/>
              <w:gridCol w:w="990"/>
              <w:gridCol w:w="1125"/>
            </w:tblGrid>
            <w:tr w:rsidR="004D66DF" w:rsidRPr="004D66DF" w14:paraId="14FA438C" w14:textId="77777777" w:rsidTr="00756DC8">
              <w:trPr>
                <w:trHeight w:val="375"/>
              </w:trPr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F2F18D" w14:textId="77777777" w:rsidR="004D66DF" w:rsidRPr="004D66DF" w:rsidRDefault="004D66DF" w:rsidP="004D66DF">
                  <w:pPr>
                    <w:rPr>
                      <w:rFonts w:ascii="Times New Roman" w:hAnsi="Times New Roman"/>
                      <w:sz w:val="24"/>
                      <w:szCs w:val="20"/>
                    </w:rPr>
                  </w:pP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2993C1" w14:textId="77777777" w:rsidR="004D66DF" w:rsidRPr="004D66DF" w:rsidRDefault="004D66DF" w:rsidP="004D66D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160B50" w14:textId="77777777" w:rsidR="004D66DF" w:rsidRPr="004D66DF" w:rsidRDefault="004D66DF" w:rsidP="004D66DF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005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ABCB861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D66DF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Laminar Flow Restrictor Flow Rate</w:t>
                  </w:r>
                </w:p>
              </w:tc>
            </w:tr>
            <w:tr w:rsidR="004D66DF" w:rsidRPr="004D66DF" w14:paraId="78383B3B" w14:textId="77777777" w:rsidTr="00756DC8">
              <w:trPr>
                <w:trHeight w:val="375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FE1152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D66DF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Energy Source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EB713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D66DF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Climate Zone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6369E7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D66DF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Units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E2A6B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D66DF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2.2 GPM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22DEF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D66DF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1.5 GPM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CFDEA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D66DF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1.0 GPM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9D865C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4D66DF">
                    <w:rPr>
                      <w:rFonts w:ascii="Calibri" w:hAnsi="Calibri" w:cs="Calibri"/>
                      <w:b/>
                      <w:bCs/>
                      <w:color w:val="000000"/>
                      <w:sz w:val="28"/>
                      <w:szCs w:val="28"/>
                    </w:rPr>
                    <w:t>0.5 GPM</w:t>
                  </w:r>
                </w:p>
              </w:tc>
            </w:tr>
            <w:tr w:rsidR="00E2468F" w:rsidRPr="004D66DF" w14:paraId="70A17F26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20452F0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92A35A1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</w:t>
                  </w:r>
                </w:p>
              </w:tc>
              <w:tc>
                <w:tcPr>
                  <w:tcW w:w="10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03580E4D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42944E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7.25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E458D8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17.39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D53BA6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24.64</w:t>
                  </w:r>
                </w:p>
              </w:tc>
              <w:tc>
                <w:tcPr>
                  <w:tcW w:w="11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021ED8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31.88</w:t>
                  </w:r>
                </w:p>
              </w:tc>
            </w:tr>
            <w:tr w:rsidR="00E2468F" w:rsidRPr="004D66DF" w14:paraId="3CA4C23D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7E97B65C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D3BD472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1B51D7FB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2DD7855C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6.45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023F7B5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15.47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3EE2BA1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21.92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B08D37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28.37</w:t>
                  </w:r>
                </w:p>
              </w:tc>
            </w:tr>
            <w:tr w:rsidR="00E2468F" w:rsidRPr="004D66DF" w14:paraId="68F006A0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17BC616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30F050BB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0E55D9E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E94F65E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6.48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3BC354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15.55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6541F42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22.03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440119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28.51</w:t>
                  </w:r>
                </w:p>
              </w:tc>
            </w:tr>
            <w:tr w:rsidR="00E2468F" w:rsidRPr="004D66DF" w14:paraId="310AFFE3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5B3B257B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719B51B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4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004582FC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5BEBD8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6.15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17A0F42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14.75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2A81AB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20.90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6150FC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27.05</w:t>
                  </w:r>
                </w:p>
              </w:tc>
            </w:tr>
            <w:tr w:rsidR="00E2468F" w:rsidRPr="004D66DF" w14:paraId="58142101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0E0782F5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1379C2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5D6EC2B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D309695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6.64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C0DC37F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15.95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711B23B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22.59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CEF6C2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29.24</w:t>
                  </w:r>
                </w:p>
              </w:tc>
            </w:tr>
            <w:tr w:rsidR="00E2468F" w:rsidRPr="004D66DF" w14:paraId="1B2C7D07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1742F63D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EED319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6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6C9446DE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F6FAAC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5.84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9F6B4E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14.03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8871FB8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19.87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2D89DD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25.72</w:t>
                  </w:r>
                </w:p>
              </w:tc>
            </w:tr>
            <w:tr w:rsidR="00E2468F" w:rsidRPr="004D66DF" w14:paraId="0149C35A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14C53E4D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DF3D1C2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7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3DC2EBC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9DAEA5B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5.74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E5D9B72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13.77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8213DF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19.50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3E5295CE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25.24</w:t>
                  </w:r>
                </w:p>
              </w:tc>
            </w:tr>
            <w:tr w:rsidR="00E2468F" w:rsidRPr="004D66DF" w14:paraId="3494D376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05D7FA1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9A0EB4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8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3D6F530D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2D1FA27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5.58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C76A19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13.38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E227F7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18.96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3C80CF1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24.53</w:t>
                  </w:r>
                </w:p>
              </w:tc>
            </w:tr>
            <w:tr w:rsidR="00E2468F" w:rsidRPr="004D66DF" w14:paraId="4A0A8A3F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4C811B4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FFF47BC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9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4F6FB6D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BC60AC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5.57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79868BB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13.36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3CF6B21D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18.92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F1BD6C1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24.49</w:t>
                  </w:r>
                </w:p>
              </w:tc>
            </w:tr>
            <w:tr w:rsidR="00E2468F" w:rsidRPr="004D66DF" w14:paraId="484D07E5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11666E7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21A80A45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10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469EC06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347DFE5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5.52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765420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13.25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2A3380C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18.77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AAA09F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24.29</w:t>
                  </w:r>
                </w:p>
              </w:tc>
            </w:tr>
            <w:tr w:rsidR="00E2468F" w:rsidRPr="004D66DF" w14:paraId="4D4B2238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4E34BAC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7ED3A6E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11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42E7704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3CAC688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5.65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52F237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13.56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C70D185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19.21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F2298C2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24.86</w:t>
                  </w:r>
                </w:p>
              </w:tc>
            </w:tr>
            <w:tr w:rsidR="00E2468F" w:rsidRPr="004D66DF" w14:paraId="3942E0F9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566C8CB8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D5F4889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12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6B6E7381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751FD8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5.96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F76BEAF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14.31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397E3FB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20.27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3B5EA73F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26.23</w:t>
                  </w:r>
                </w:p>
              </w:tc>
            </w:tr>
            <w:tr w:rsidR="00E2468F" w:rsidRPr="004D66DF" w14:paraId="0E3FF88D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55BD761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0673A3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73309010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2913B857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5.53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493A54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13.27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F37FC5D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18.79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1D973E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24.32</w:t>
                  </w:r>
                </w:p>
              </w:tc>
            </w:tr>
            <w:tr w:rsidR="00E2468F" w:rsidRPr="004D66DF" w14:paraId="65B02E22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472F035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19F90A5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14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117CEFB2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1044CEB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5.72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D07914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13.73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65C9287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19.45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86E2C8E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25.17</w:t>
                  </w:r>
                </w:p>
              </w:tc>
            </w:tr>
            <w:tr w:rsidR="00E2468F" w:rsidRPr="004D66DF" w14:paraId="21726AE5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32E6B36E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577E5E1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15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25EBD3F3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32ECAF8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3.99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52D870E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9.58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0EA2DA5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13.57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189EDC3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17.56</w:t>
                  </w:r>
                </w:p>
              </w:tc>
            </w:tr>
            <w:tr w:rsidR="00E2468F" w:rsidRPr="004D66DF" w14:paraId="76408BF6" w14:textId="77777777" w:rsidTr="00756DC8">
              <w:trPr>
                <w:trHeight w:val="300"/>
              </w:trPr>
              <w:tc>
                <w:tcPr>
                  <w:tcW w:w="18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3D7B88E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Storage Water Heater (V &gt;75 gal)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47405BEA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16</w:t>
                  </w:r>
                </w:p>
              </w:tc>
              <w:tc>
                <w:tcPr>
                  <w:tcW w:w="10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center"/>
                  <w:hideMark/>
                </w:tcPr>
                <w:p w14:paraId="0B12F0DC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therm</w:t>
                  </w:r>
                  <w:proofErr w:type="spellEnd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/</w:t>
                  </w:r>
                  <w:proofErr w:type="spellStart"/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yr</w:t>
                  </w:r>
                  <w:proofErr w:type="spellEnd"/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0AEDB05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7.20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7F154A5F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17.27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6ED30C94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24.47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14:paraId="31968386" w14:textId="77777777" w:rsidR="004D66DF" w:rsidRPr="004D66DF" w:rsidRDefault="004D66DF" w:rsidP="004D66DF">
                  <w:pPr>
                    <w:jc w:val="center"/>
                    <w:rPr>
                      <w:rFonts w:ascii="Calibri" w:hAnsi="Calibri" w:cs="Calibri"/>
                      <w:color w:val="000000"/>
                      <w:szCs w:val="22"/>
                    </w:rPr>
                  </w:pPr>
                  <w:r w:rsidRPr="004D66DF">
                    <w:rPr>
                      <w:rFonts w:ascii="Calibri" w:hAnsi="Calibri" w:cs="Calibri"/>
                      <w:color w:val="000000"/>
                      <w:szCs w:val="22"/>
                    </w:rPr>
                    <w:t>31.66</w:t>
                  </w:r>
                </w:p>
              </w:tc>
            </w:tr>
          </w:tbl>
          <w:p w14:paraId="11A26336" w14:textId="58AFEC68" w:rsidR="00B84663" w:rsidRPr="00555671" w:rsidRDefault="00B84663" w:rsidP="00814F9B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14:paraId="11A2634B" w14:textId="77777777" w:rsidTr="004D66DF">
        <w:trPr>
          <w:gridAfter w:val="1"/>
          <w:wAfter w:w="226" w:type="dxa"/>
          <w:cantSplit/>
        </w:trPr>
        <w:tc>
          <w:tcPr>
            <w:tcW w:w="1623" w:type="dxa"/>
            <w:vAlign w:val="center"/>
          </w:tcPr>
          <w:p w14:paraId="11A26338" w14:textId="77777777" w:rsidR="00A61271" w:rsidRPr="001D77F7" w:rsidRDefault="00A61271" w:rsidP="002A7EFE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7727" w:type="dxa"/>
            <w:gridSpan w:val="2"/>
          </w:tcPr>
          <w:p w14:paraId="63E36E27" w14:textId="77777777" w:rsidR="0027410B" w:rsidRDefault="0027410B" w:rsidP="0051536D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11A2634A" w14:textId="451816EC" w:rsidR="00AD4BB5" w:rsidRPr="00CB7EFC" w:rsidRDefault="00E65350" w:rsidP="00CB7EFC">
            <w:pPr>
              <w:rPr>
                <w:rFonts w:cstheme="minorHAnsi"/>
                <w:szCs w:val="22"/>
              </w:rPr>
            </w:pPr>
            <w:r w:rsidRPr="00E65350">
              <w:rPr>
                <w:rFonts w:cstheme="minorHAnsi"/>
                <w:szCs w:val="22"/>
              </w:rPr>
              <w:t>PGE:7 = Commercial Process</w:t>
            </w:r>
            <w:bookmarkStart w:id="3" w:name="_GoBack"/>
            <w:bookmarkEnd w:id="3"/>
          </w:p>
        </w:tc>
      </w:tr>
      <w:tr w:rsidR="00A61271" w14:paraId="11A2634F" w14:textId="77777777" w:rsidTr="004D66DF">
        <w:trPr>
          <w:gridAfter w:val="1"/>
          <w:wAfter w:w="226" w:type="dxa"/>
          <w:cantSplit/>
        </w:trPr>
        <w:tc>
          <w:tcPr>
            <w:tcW w:w="1623" w:type="dxa"/>
            <w:vAlign w:val="center"/>
          </w:tcPr>
          <w:p w14:paraId="11A2634C" w14:textId="77777777" w:rsidR="00A61271" w:rsidRPr="001D77F7" w:rsidRDefault="00A61271" w:rsidP="002A7EFE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7727" w:type="dxa"/>
            <w:gridSpan w:val="2"/>
          </w:tcPr>
          <w:p w14:paraId="11A2634E" w14:textId="30AF40BD" w:rsidR="00A61271" w:rsidRPr="00D22F63" w:rsidRDefault="007B0A6F" w:rsidP="00C048F4">
            <w:pPr>
              <w:rPr>
                <w:sz w:val="20"/>
                <w:szCs w:val="20"/>
              </w:rPr>
            </w:pPr>
            <w:r w:rsidRPr="00A965B2">
              <w:rPr>
                <w:sz w:val="20"/>
                <w:szCs w:val="20"/>
              </w:rPr>
              <w:t xml:space="preserve">Cost is obtained from costs documented by </w:t>
            </w:r>
            <w:r w:rsidR="00D22F63">
              <w:rPr>
                <w:sz w:val="20"/>
                <w:szCs w:val="20"/>
              </w:rPr>
              <w:t>SCG wo</w:t>
            </w:r>
            <w:r w:rsidR="00AD4BB5">
              <w:rPr>
                <w:sz w:val="20"/>
                <w:szCs w:val="20"/>
              </w:rPr>
              <w:t>rk paper “</w:t>
            </w:r>
            <w:r w:rsidR="008D568B">
              <w:rPr>
                <w:sz w:val="20"/>
                <w:szCs w:val="20"/>
              </w:rPr>
              <w:t>WPSCGNRWH150827A Rev 2</w:t>
            </w:r>
            <w:r w:rsidR="00D22F63">
              <w:rPr>
                <w:sz w:val="20"/>
                <w:szCs w:val="20"/>
              </w:rPr>
              <w:t>” section 4</w:t>
            </w:r>
            <w:r w:rsidR="008D568B">
              <w:rPr>
                <w:sz w:val="20"/>
                <w:szCs w:val="20"/>
              </w:rPr>
              <w:t>.1</w:t>
            </w:r>
            <w:r w:rsidR="00D22F63">
              <w:rPr>
                <w:sz w:val="20"/>
                <w:szCs w:val="20"/>
              </w:rPr>
              <w:t xml:space="preserve">- </w:t>
            </w:r>
            <w:r w:rsidR="00AD4BB5">
              <w:rPr>
                <w:sz w:val="20"/>
                <w:szCs w:val="20"/>
              </w:rPr>
              <w:t xml:space="preserve">Base Case </w:t>
            </w:r>
            <w:r w:rsidR="008D568B">
              <w:rPr>
                <w:sz w:val="20"/>
                <w:szCs w:val="20"/>
              </w:rPr>
              <w:t xml:space="preserve">Cost </w:t>
            </w:r>
            <w:r w:rsidR="00AD4BB5">
              <w:rPr>
                <w:sz w:val="20"/>
                <w:szCs w:val="20"/>
              </w:rPr>
              <w:t xml:space="preserve">&amp; </w:t>
            </w:r>
            <w:r w:rsidR="008D568B">
              <w:rPr>
                <w:sz w:val="20"/>
                <w:szCs w:val="20"/>
              </w:rPr>
              <w:t>section 4.2-Measure Case Cost</w:t>
            </w:r>
            <w:r w:rsidR="00E46364" w:rsidRPr="00A965B2">
              <w:rPr>
                <w:sz w:val="20"/>
                <w:szCs w:val="20"/>
              </w:rPr>
              <w:t xml:space="preserve">  </w:t>
            </w:r>
          </w:p>
        </w:tc>
      </w:tr>
      <w:tr w:rsidR="00A61271" w:rsidRPr="00393EC8" w14:paraId="11A26352" w14:textId="77777777" w:rsidTr="004D66DF">
        <w:trPr>
          <w:gridAfter w:val="1"/>
          <w:wAfter w:w="226" w:type="dxa"/>
          <w:cantSplit/>
        </w:trPr>
        <w:tc>
          <w:tcPr>
            <w:tcW w:w="1623" w:type="dxa"/>
          </w:tcPr>
          <w:p w14:paraId="11A26350" w14:textId="77777777"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lastRenderedPageBreak/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7727" w:type="dxa"/>
            <w:gridSpan w:val="2"/>
          </w:tcPr>
          <w:p w14:paraId="11A26351" w14:textId="77777777" w:rsidR="00A61271" w:rsidRPr="00393EC8" w:rsidRDefault="00A61271" w:rsidP="002A7EFE">
            <w:pPr>
              <w:rPr>
                <w:b/>
              </w:rPr>
            </w:pPr>
          </w:p>
        </w:tc>
      </w:tr>
      <w:tr w:rsidR="00E05871" w14:paraId="11A26355" w14:textId="77777777" w:rsidTr="004D66DF">
        <w:trPr>
          <w:gridAfter w:val="1"/>
          <w:wAfter w:w="226" w:type="dxa"/>
          <w:cantSplit/>
        </w:trPr>
        <w:tc>
          <w:tcPr>
            <w:tcW w:w="1623" w:type="dxa"/>
          </w:tcPr>
          <w:p w14:paraId="11A26353" w14:textId="77777777" w:rsidR="00E05871" w:rsidRPr="00822B6F" w:rsidRDefault="00E05871" w:rsidP="008B3167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7727" w:type="dxa"/>
            <w:gridSpan w:val="2"/>
          </w:tcPr>
          <w:p w14:paraId="40482157" w14:textId="67B3DFF6" w:rsidR="00D22F63" w:rsidRDefault="00DF4E40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 case cost is $0.00</w:t>
            </w:r>
          </w:p>
          <w:p w14:paraId="11A26354" w14:textId="51479D19" w:rsidR="00E05871" w:rsidRDefault="00E05871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D22F63" w14:paraId="11A2635B" w14:textId="77777777" w:rsidTr="004D66DF">
        <w:trPr>
          <w:gridAfter w:val="1"/>
          <w:wAfter w:w="226" w:type="dxa"/>
          <w:cantSplit/>
        </w:trPr>
        <w:tc>
          <w:tcPr>
            <w:tcW w:w="1623" w:type="dxa"/>
          </w:tcPr>
          <w:p w14:paraId="11A26359" w14:textId="77777777" w:rsidR="00D22F63" w:rsidRPr="00822B6F" w:rsidRDefault="00D22F63" w:rsidP="00D22F63">
            <w:pPr>
              <w:jc w:val="center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Measure Cost</w:t>
            </w:r>
          </w:p>
        </w:tc>
        <w:tc>
          <w:tcPr>
            <w:tcW w:w="7727" w:type="dxa"/>
            <w:gridSpan w:val="2"/>
            <w:vAlign w:val="center"/>
          </w:tcPr>
          <w:p w14:paraId="44F839DE" w14:textId="0F6338D6" w:rsidR="00D22F63" w:rsidRDefault="00D22F63" w:rsidP="00D22F6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tbl>
            <w:tblPr>
              <w:tblStyle w:val="TableContemporary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660"/>
              <w:gridCol w:w="1530"/>
              <w:gridCol w:w="2070"/>
              <w:gridCol w:w="2199"/>
            </w:tblGrid>
            <w:tr w:rsidR="00BF10B9" w:rsidRPr="00CB5A40" w14:paraId="514C9109" w14:textId="77777777" w:rsidTr="00262091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43"/>
                <w:jc w:val="center"/>
              </w:trPr>
              <w:tc>
                <w:tcPr>
                  <w:tcW w:w="1660" w:type="dxa"/>
                  <w:tcBorders>
                    <w:top w:val="nil"/>
                    <w:left w:val="nil"/>
                    <w:bottom w:val="single" w:sz="18" w:space="0" w:color="FFFFFF"/>
                    <w:right w:val="single" w:sz="18" w:space="0" w:color="FFFFFF"/>
                  </w:tcBorders>
                  <w:vAlign w:val="center"/>
                  <w:hideMark/>
                </w:tcPr>
                <w:p w14:paraId="50ED3BFF" w14:textId="77777777" w:rsidR="00BF10B9" w:rsidRPr="009F7F3A" w:rsidRDefault="00BF10B9" w:rsidP="00BF10B9">
                  <w:pPr>
                    <w:jc w:val="center"/>
                    <w:rPr>
                      <w:rFonts w:asciiTheme="minorHAnsi" w:hAnsiTheme="minorHAnsi" w:cs="Calibri"/>
                      <w:sz w:val="22"/>
                      <w:szCs w:val="22"/>
                    </w:rPr>
                  </w:pPr>
                  <w:r w:rsidRPr="009F7F3A">
                    <w:rPr>
                      <w:rFonts w:asciiTheme="minorHAnsi" w:hAnsiTheme="minorHAnsi" w:cs="Calibri"/>
                      <w:sz w:val="22"/>
                      <w:szCs w:val="22"/>
                    </w:rPr>
                    <w:t>Description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single" w:sz="18" w:space="0" w:color="FFFFFF"/>
                    <w:bottom w:val="single" w:sz="18" w:space="0" w:color="FFFFFF"/>
                    <w:right w:val="single" w:sz="18" w:space="0" w:color="FFFFFF"/>
                  </w:tcBorders>
                  <w:vAlign w:val="center"/>
                  <w:hideMark/>
                </w:tcPr>
                <w:p w14:paraId="382397FA" w14:textId="77777777" w:rsidR="00BF10B9" w:rsidRPr="009F7F3A" w:rsidRDefault="00BF10B9" w:rsidP="00BF10B9">
                  <w:pPr>
                    <w:jc w:val="center"/>
                    <w:rPr>
                      <w:rFonts w:asciiTheme="minorHAnsi" w:hAnsiTheme="minorHAnsi" w:cs="Calibri"/>
                      <w:i/>
                      <w:color w:val="FF0000"/>
                      <w:sz w:val="22"/>
                      <w:szCs w:val="22"/>
                    </w:rPr>
                  </w:pPr>
                  <w:r w:rsidRPr="009F7F3A">
                    <w:rPr>
                      <w:rFonts w:asciiTheme="minorHAnsi" w:hAnsiTheme="minorHAnsi" w:cs="Calibri"/>
                      <w:sz w:val="22"/>
                      <w:szCs w:val="22"/>
                    </w:rPr>
                    <w:t>Equipment Cost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single" w:sz="18" w:space="0" w:color="FFFFFF"/>
                    <w:bottom w:val="single" w:sz="18" w:space="0" w:color="FFFFFF"/>
                    <w:right w:val="single" w:sz="18" w:space="0" w:color="FFFFFF"/>
                  </w:tcBorders>
                  <w:vAlign w:val="center"/>
                  <w:hideMark/>
                </w:tcPr>
                <w:p w14:paraId="488A32B4" w14:textId="77777777" w:rsidR="00BF10B9" w:rsidRPr="009F7F3A" w:rsidRDefault="00BF10B9" w:rsidP="00BF10B9">
                  <w:pPr>
                    <w:jc w:val="center"/>
                    <w:rPr>
                      <w:rFonts w:asciiTheme="minorHAnsi" w:hAnsiTheme="minorHAnsi" w:cs="Calibri"/>
                      <w:sz w:val="22"/>
                      <w:szCs w:val="22"/>
                    </w:rPr>
                  </w:pPr>
                  <w:r w:rsidRPr="009F7F3A">
                    <w:rPr>
                      <w:rFonts w:asciiTheme="minorHAnsi" w:hAnsiTheme="minorHAnsi" w:cs="Calibri"/>
                      <w:sz w:val="22"/>
                      <w:szCs w:val="22"/>
                    </w:rPr>
                    <w:t>Labor/Installation Cost</w:t>
                  </w:r>
                </w:p>
              </w:tc>
              <w:tc>
                <w:tcPr>
                  <w:tcW w:w="2199" w:type="dxa"/>
                  <w:tcBorders>
                    <w:top w:val="nil"/>
                    <w:left w:val="single" w:sz="18" w:space="0" w:color="FFFFFF"/>
                    <w:bottom w:val="single" w:sz="18" w:space="0" w:color="FFFFFF"/>
                    <w:right w:val="nil"/>
                  </w:tcBorders>
                  <w:vAlign w:val="center"/>
                </w:tcPr>
                <w:p w14:paraId="2A7E7B4A" w14:textId="77777777" w:rsidR="00BF10B9" w:rsidRPr="009F7F3A" w:rsidRDefault="00BF10B9" w:rsidP="00BF10B9">
                  <w:pPr>
                    <w:jc w:val="center"/>
                    <w:rPr>
                      <w:rFonts w:cs="Calibri"/>
                      <w:sz w:val="22"/>
                      <w:szCs w:val="22"/>
                    </w:rPr>
                  </w:pPr>
                  <w:r w:rsidRPr="009F7F3A">
                    <w:rPr>
                      <w:rFonts w:cs="Calibri"/>
                      <w:sz w:val="22"/>
                      <w:szCs w:val="22"/>
                    </w:rPr>
                    <w:t>Total Measure Cost</w:t>
                  </w:r>
                </w:p>
              </w:tc>
            </w:tr>
            <w:tr w:rsidR="00BF10B9" w:rsidRPr="00CB5A40" w14:paraId="2887514B" w14:textId="77777777" w:rsidTr="00262091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243"/>
                <w:jc w:val="center"/>
              </w:trPr>
              <w:tc>
                <w:tcPr>
                  <w:tcW w:w="1660" w:type="dxa"/>
                  <w:tcBorders>
                    <w:top w:val="single" w:sz="18" w:space="0" w:color="FFFFFF"/>
                    <w:left w:val="nil"/>
                    <w:bottom w:val="single" w:sz="18" w:space="0" w:color="FFFFFF"/>
                    <w:right w:val="single" w:sz="18" w:space="0" w:color="FFFFFF"/>
                  </w:tcBorders>
                  <w:vAlign w:val="center"/>
                  <w:hideMark/>
                </w:tcPr>
                <w:p w14:paraId="0164E73B" w14:textId="77777777" w:rsidR="00BF10B9" w:rsidRPr="00CB5A40" w:rsidRDefault="00BF10B9" w:rsidP="00BF10B9">
                  <w:pPr>
                    <w:jc w:val="center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Faucet LFR (Direct Install)</w:t>
                  </w:r>
                </w:p>
              </w:tc>
              <w:tc>
                <w:tcPr>
                  <w:tcW w:w="1530" w:type="dxa"/>
                  <w:tcBorders>
                    <w:top w:val="single" w:sz="18" w:space="0" w:color="FFFFFF"/>
                    <w:left w:val="single" w:sz="18" w:space="0" w:color="FFFFFF"/>
                    <w:bottom w:val="single" w:sz="18" w:space="0" w:color="FFFFFF"/>
                    <w:right w:val="single" w:sz="18" w:space="0" w:color="FFFFFF"/>
                  </w:tcBorders>
                  <w:vAlign w:val="center"/>
                  <w:hideMark/>
                </w:tcPr>
                <w:p w14:paraId="17077790" w14:textId="0540487B" w:rsidR="00BF10B9" w:rsidRPr="00CB5A40" w:rsidRDefault="00BF10B9" w:rsidP="00BF10B9">
                  <w:pPr>
                    <w:jc w:val="center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$7.27/unit</w:t>
                  </w:r>
                </w:p>
              </w:tc>
              <w:tc>
                <w:tcPr>
                  <w:tcW w:w="2070" w:type="dxa"/>
                  <w:tcBorders>
                    <w:top w:val="single" w:sz="18" w:space="0" w:color="FFFFFF"/>
                    <w:left w:val="single" w:sz="18" w:space="0" w:color="FFFFFF"/>
                    <w:bottom w:val="single" w:sz="18" w:space="0" w:color="FFFFFF"/>
                    <w:right w:val="single" w:sz="18" w:space="0" w:color="FFFFFF"/>
                  </w:tcBorders>
                  <w:vAlign w:val="center"/>
                  <w:hideMark/>
                </w:tcPr>
                <w:p w14:paraId="14827A7A" w14:textId="7134D9CE" w:rsidR="00BF10B9" w:rsidRPr="00CB5A40" w:rsidRDefault="00BF10B9" w:rsidP="00BF10B9">
                  <w:pPr>
                    <w:jc w:val="center"/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$7/unit</w:t>
                  </w:r>
                </w:p>
              </w:tc>
              <w:tc>
                <w:tcPr>
                  <w:tcW w:w="2199" w:type="dxa"/>
                  <w:tcBorders>
                    <w:top w:val="single" w:sz="18" w:space="0" w:color="FFFFFF"/>
                    <w:left w:val="single" w:sz="18" w:space="0" w:color="FFFFFF"/>
                    <w:bottom w:val="single" w:sz="18" w:space="0" w:color="FFFFFF"/>
                    <w:right w:val="nil"/>
                  </w:tcBorders>
                  <w:vAlign w:val="center"/>
                </w:tcPr>
                <w:p w14:paraId="02C3B1C4" w14:textId="5D7219C6" w:rsidR="00BF10B9" w:rsidRDefault="00BF10B9" w:rsidP="00BF10B9">
                  <w:pPr>
                    <w:jc w:val="center"/>
                    <w:rPr>
                      <w:rFonts w:cs="Calibri"/>
                      <w:i/>
                      <w:szCs w:val="22"/>
                    </w:rPr>
                  </w:pPr>
                  <w:r>
                    <w:rPr>
                      <w:rFonts w:cs="Calibri"/>
                      <w:i/>
                      <w:szCs w:val="22"/>
                    </w:rPr>
                    <w:t>$14.27/unit</w:t>
                  </w:r>
                </w:p>
              </w:tc>
            </w:tr>
            <w:tr w:rsidR="00BF10B9" w:rsidRPr="00CB5A40" w14:paraId="0BFF1781" w14:textId="77777777" w:rsidTr="00262091">
              <w:trPr>
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w:trHeight w:val="243"/>
                <w:jc w:val="center"/>
              </w:trPr>
              <w:tc>
                <w:tcPr>
                  <w:tcW w:w="1660" w:type="dxa"/>
                  <w:tcBorders>
                    <w:top w:val="single" w:sz="18" w:space="0" w:color="FFFFFF"/>
                    <w:left w:val="nil"/>
                    <w:bottom w:val="single" w:sz="18" w:space="0" w:color="FFFFFF"/>
                    <w:right w:val="single" w:sz="18" w:space="0" w:color="FFFFFF"/>
                  </w:tcBorders>
                  <w:vAlign w:val="center"/>
                </w:tcPr>
                <w:p w14:paraId="6A4680B7" w14:textId="77777777" w:rsidR="00BF10B9" w:rsidRPr="0057289D" w:rsidRDefault="00BF10B9" w:rsidP="00BF10B9">
                  <w:pPr>
                    <w:jc w:val="center"/>
                    <w:rPr>
                      <w:rFonts w:cs="Calibri"/>
                      <w:i/>
                      <w:sz w:val="22"/>
                      <w:szCs w:val="22"/>
                    </w:rPr>
                  </w:pPr>
                  <w:r>
                    <w:rPr>
                      <w:rFonts w:cs="Calibri"/>
                      <w:i/>
                      <w:sz w:val="22"/>
                      <w:szCs w:val="22"/>
                    </w:rPr>
                    <w:t>Faucet LFR</w:t>
                  </w:r>
                </w:p>
                <w:p w14:paraId="2DC4CE7D" w14:textId="001A0347" w:rsidR="00BF10B9" w:rsidRPr="0057289D" w:rsidRDefault="00BF10B9" w:rsidP="00BF10B9">
                  <w:pPr>
                    <w:jc w:val="center"/>
                    <w:rPr>
                      <w:rFonts w:cs="Calibri"/>
                      <w:i/>
                      <w:sz w:val="22"/>
                      <w:szCs w:val="22"/>
                    </w:rPr>
                  </w:pPr>
                  <w:r>
                    <w:rPr>
                      <w:rFonts w:cs="Calibri"/>
                      <w:i/>
                      <w:sz w:val="22"/>
                      <w:szCs w:val="22"/>
                    </w:rPr>
                    <w:t>(</w:t>
                  </w:r>
                  <w:proofErr w:type="gramStart"/>
                  <w:r>
                    <w:rPr>
                      <w:rFonts w:cs="Calibri"/>
                      <w:i/>
                      <w:sz w:val="22"/>
                      <w:szCs w:val="22"/>
                    </w:rPr>
                    <w:t>Downs</w:t>
                  </w:r>
                  <w:r w:rsidRPr="0057289D">
                    <w:rPr>
                      <w:rFonts w:cs="Calibri"/>
                      <w:i/>
                      <w:sz w:val="22"/>
                      <w:szCs w:val="22"/>
                    </w:rPr>
                    <w:t xml:space="preserve">tream </w:t>
                  </w:r>
                  <w:r>
                    <w:rPr>
                      <w:rFonts w:cs="Calibri"/>
                      <w:i/>
                      <w:sz w:val="22"/>
                      <w:szCs w:val="22"/>
                    </w:rPr>
                    <w:t xml:space="preserve"> Rebate</w:t>
                  </w:r>
                  <w:proofErr w:type="gramEnd"/>
                  <w:r w:rsidRPr="0057289D">
                    <w:rPr>
                      <w:rFonts w:cs="Calibri"/>
                      <w:i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1530" w:type="dxa"/>
                  <w:tcBorders>
                    <w:top w:val="single" w:sz="18" w:space="0" w:color="FFFFFF"/>
                    <w:left w:val="single" w:sz="18" w:space="0" w:color="FFFFFF"/>
                    <w:bottom w:val="single" w:sz="18" w:space="0" w:color="FFFFFF"/>
                    <w:right w:val="single" w:sz="18" w:space="0" w:color="FFFFFF"/>
                  </w:tcBorders>
                  <w:vAlign w:val="center"/>
                </w:tcPr>
                <w:p w14:paraId="72325B5D" w14:textId="722AEB0F" w:rsidR="00BF10B9" w:rsidRPr="0057289D" w:rsidRDefault="00BF10B9" w:rsidP="00BF10B9">
                  <w:pPr>
                    <w:jc w:val="center"/>
                    <w:rPr>
                      <w:rFonts w:cs="Calibri"/>
                      <w:i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$7.27/unit</w:t>
                  </w:r>
                </w:p>
              </w:tc>
              <w:tc>
                <w:tcPr>
                  <w:tcW w:w="2070" w:type="dxa"/>
                  <w:tcBorders>
                    <w:top w:val="single" w:sz="18" w:space="0" w:color="FFFFFF"/>
                    <w:left w:val="single" w:sz="18" w:space="0" w:color="FFFFFF"/>
                    <w:bottom w:val="single" w:sz="18" w:space="0" w:color="FFFFFF"/>
                    <w:right w:val="single" w:sz="18" w:space="0" w:color="FFFFFF"/>
                  </w:tcBorders>
                  <w:vAlign w:val="center"/>
                </w:tcPr>
                <w:p w14:paraId="10E7E358" w14:textId="785B7DB1" w:rsidR="00BF10B9" w:rsidRPr="0057289D" w:rsidRDefault="00870147" w:rsidP="00BF10B9">
                  <w:pPr>
                    <w:jc w:val="center"/>
                    <w:rPr>
                      <w:rFonts w:cs="Calibri"/>
                      <w:i/>
                      <w:sz w:val="22"/>
                      <w:szCs w:val="22"/>
                    </w:rPr>
                  </w:pPr>
                  <w:r>
                    <w:rPr>
                      <w:rFonts w:cs="Calibri"/>
                      <w:i/>
                      <w:sz w:val="22"/>
                      <w:szCs w:val="22"/>
                    </w:rPr>
                    <w:t>$7</w:t>
                  </w:r>
                  <w:r w:rsidR="00BF10B9">
                    <w:rPr>
                      <w:rFonts w:cs="Calibri"/>
                      <w:i/>
                      <w:sz w:val="22"/>
                      <w:szCs w:val="22"/>
                    </w:rPr>
                    <w:t>/unit</w:t>
                  </w:r>
                </w:p>
              </w:tc>
              <w:tc>
                <w:tcPr>
                  <w:tcW w:w="2199" w:type="dxa"/>
                  <w:tcBorders>
                    <w:top w:val="single" w:sz="18" w:space="0" w:color="FFFFFF"/>
                    <w:left w:val="single" w:sz="18" w:space="0" w:color="FFFFFF"/>
                    <w:bottom w:val="single" w:sz="18" w:space="0" w:color="FFFFFF"/>
                    <w:right w:val="nil"/>
                  </w:tcBorders>
                  <w:vAlign w:val="center"/>
                </w:tcPr>
                <w:p w14:paraId="1F86A89B" w14:textId="75115FF3" w:rsidR="00BF10B9" w:rsidRPr="0057289D" w:rsidRDefault="00870147" w:rsidP="00BF10B9">
                  <w:pPr>
                    <w:jc w:val="center"/>
                    <w:rPr>
                      <w:rFonts w:cs="Calibri"/>
                      <w:i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$14</w:t>
                  </w:r>
                  <w:r w:rsidR="00BF10B9">
                    <w:rPr>
                      <w:rFonts w:asciiTheme="minorHAnsi" w:hAnsiTheme="minorHAnsi" w:cs="Calibri"/>
                      <w:i/>
                      <w:sz w:val="22"/>
                      <w:szCs w:val="22"/>
                    </w:rPr>
                    <w:t>.27/unit</w:t>
                  </w:r>
                </w:p>
              </w:tc>
            </w:tr>
          </w:tbl>
          <w:p w14:paraId="63270761" w14:textId="77777777" w:rsidR="008D568B" w:rsidRDefault="008D568B" w:rsidP="00D22F6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p w14:paraId="11A2635A" w14:textId="39F0BA47" w:rsidR="008D568B" w:rsidRPr="00476F40" w:rsidRDefault="008D568B" w:rsidP="00D22F6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D22F63" w14:paraId="11A26368" w14:textId="77777777" w:rsidTr="004D66DF">
        <w:trPr>
          <w:gridAfter w:val="1"/>
          <w:wAfter w:w="226" w:type="dxa"/>
          <w:cantSplit/>
          <w:trHeight w:val="2312"/>
        </w:trPr>
        <w:tc>
          <w:tcPr>
            <w:tcW w:w="1623" w:type="dxa"/>
          </w:tcPr>
          <w:p w14:paraId="11A26365" w14:textId="77777777" w:rsidR="00D22F63" w:rsidRDefault="00D22F63" w:rsidP="00D22F6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Incremental </w:t>
            </w:r>
          </w:p>
          <w:p w14:paraId="11A26366" w14:textId="77777777" w:rsidR="00D22F63" w:rsidRDefault="00D22F63" w:rsidP="00D22F63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Measure Cost</w:t>
            </w:r>
          </w:p>
        </w:tc>
        <w:tc>
          <w:tcPr>
            <w:tcW w:w="7727" w:type="dxa"/>
            <w:gridSpan w:val="2"/>
          </w:tcPr>
          <w:p w14:paraId="1F3D4D81" w14:textId="4B228EAA" w:rsidR="002A7EFE" w:rsidRDefault="002A7EFE" w:rsidP="002A7EF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1"/>
              <w:tblW w:w="3854" w:type="pct"/>
              <w:tblInd w:w="595" w:type="dxa"/>
              <w:tblLayout w:type="fixed"/>
              <w:tblLook w:val="01E0" w:firstRow="1" w:lastRow="1" w:firstColumn="1" w:lastColumn="1" w:noHBand="0" w:noVBand="0"/>
            </w:tblPr>
            <w:tblGrid>
              <w:gridCol w:w="1523"/>
              <w:gridCol w:w="2707"/>
              <w:gridCol w:w="1552"/>
            </w:tblGrid>
            <w:tr w:rsidR="009F3960" w:rsidRPr="00500C4E" w14:paraId="34911272" w14:textId="77777777" w:rsidTr="009F3960">
              <w:trPr>
                <w:gridAfter w:val="1"/>
                <w:wAfter w:w="1342" w:type="pct"/>
                <w:trHeight w:val="244"/>
              </w:trPr>
              <w:tc>
                <w:tcPr>
                  <w:tcW w:w="1317" w:type="pct"/>
                  <w:vMerge w:val="restart"/>
                  <w:shd w:val="clear" w:color="auto" w:fill="D9D9D9" w:themeFill="background1" w:themeFillShade="D9"/>
                </w:tcPr>
                <w:p w14:paraId="04C322EC" w14:textId="77777777" w:rsidR="009F3960" w:rsidRPr="00DE77D0" w:rsidRDefault="009F3960" w:rsidP="009F3960">
                  <w:pPr>
                    <w:rPr>
                      <w:rFonts w:cstheme="minorHAnsi"/>
                      <w:b/>
                      <w:szCs w:val="20"/>
                      <w:highlight w:val="yellow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Installation Type</w:t>
                  </w:r>
                </w:p>
              </w:tc>
              <w:tc>
                <w:tcPr>
                  <w:tcW w:w="2341" w:type="pct"/>
                  <w:vMerge w:val="restart"/>
                  <w:shd w:val="clear" w:color="auto" w:fill="D9D9D9" w:themeFill="background1" w:themeFillShade="D9"/>
                </w:tcPr>
                <w:p w14:paraId="4D1F6DD5" w14:textId="79C5D2CC" w:rsidR="009F3960" w:rsidRPr="00DE77D0" w:rsidRDefault="00E65350" w:rsidP="009F3960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Full</w:t>
                  </w:r>
                  <w:r w:rsidR="009F3960">
                    <w:rPr>
                      <w:rFonts w:cstheme="minorHAnsi"/>
                      <w:b/>
                      <w:szCs w:val="20"/>
                    </w:rPr>
                    <w:t xml:space="preserve"> Measure Cost</w:t>
                  </w:r>
                </w:p>
              </w:tc>
            </w:tr>
            <w:tr w:rsidR="009F3960" w:rsidRPr="00500C4E" w14:paraId="63BE4724" w14:textId="77777777" w:rsidTr="009F3960">
              <w:tc>
                <w:tcPr>
                  <w:tcW w:w="1317" w:type="pct"/>
                  <w:vMerge/>
                  <w:shd w:val="clear" w:color="auto" w:fill="D9D9D9" w:themeFill="background1" w:themeFillShade="D9"/>
                </w:tcPr>
                <w:p w14:paraId="3C7D7AC1" w14:textId="77777777" w:rsidR="009F3960" w:rsidRPr="00DE77D0" w:rsidRDefault="009F3960" w:rsidP="009F3960">
                  <w:pPr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2341" w:type="pct"/>
                  <w:vMerge/>
                  <w:shd w:val="clear" w:color="auto" w:fill="D9D9D9" w:themeFill="background1" w:themeFillShade="D9"/>
                </w:tcPr>
                <w:p w14:paraId="34DB01B3" w14:textId="77777777" w:rsidR="009F3960" w:rsidRPr="00DE77D0" w:rsidRDefault="009F3960" w:rsidP="009F3960">
                  <w:pPr>
                    <w:rPr>
                      <w:rFonts w:cstheme="minorHAnsi"/>
                      <w:b/>
                      <w:szCs w:val="20"/>
                    </w:rPr>
                  </w:pPr>
                </w:p>
              </w:tc>
              <w:tc>
                <w:tcPr>
                  <w:tcW w:w="1342" w:type="pct"/>
                  <w:shd w:val="clear" w:color="auto" w:fill="F2F2F2" w:themeFill="background1" w:themeFillShade="F2"/>
                </w:tcPr>
                <w:p w14:paraId="50DD03B9" w14:textId="77777777" w:rsidR="009F3960" w:rsidRPr="00DE77D0" w:rsidRDefault="009F3960" w:rsidP="009F3960">
                  <w:pPr>
                    <w:rPr>
                      <w:rFonts w:cstheme="minorHAnsi"/>
                      <w:b/>
                      <w:szCs w:val="20"/>
                    </w:rPr>
                  </w:pPr>
                  <w:r>
                    <w:rPr>
                      <w:rFonts w:cstheme="minorHAnsi"/>
                      <w:b/>
                      <w:szCs w:val="20"/>
                    </w:rPr>
                    <w:t>1</w:t>
                  </w:r>
                  <w:r w:rsidRPr="00DE77D0">
                    <w:rPr>
                      <w:rFonts w:cstheme="minorHAnsi"/>
                      <w:b/>
                      <w:szCs w:val="20"/>
                      <w:vertAlign w:val="superscript"/>
                    </w:rPr>
                    <w:t>st</w:t>
                  </w:r>
                  <w:r>
                    <w:rPr>
                      <w:rFonts w:cstheme="minorHAnsi"/>
                      <w:b/>
                      <w:szCs w:val="20"/>
                    </w:rPr>
                    <w:t xml:space="preserve"> Baseline</w:t>
                  </w:r>
                </w:p>
              </w:tc>
            </w:tr>
            <w:tr w:rsidR="009F3960" w:rsidRPr="00500C4E" w14:paraId="24181B00" w14:textId="77777777" w:rsidTr="009F3960">
              <w:tc>
                <w:tcPr>
                  <w:tcW w:w="1317" w:type="pct"/>
                  <w:vAlign w:val="center"/>
                </w:tcPr>
                <w:p w14:paraId="15BC2C50" w14:textId="77777777" w:rsidR="009F3960" w:rsidRPr="006C5DD1" w:rsidRDefault="009F3960" w:rsidP="009F3960">
                  <w:pPr>
                    <w:rPr>
                      <w:rFonts w:cstheme="minorHAnsi"/>
                      <w:szCs w:val="20"/>
                    </w:rPr>
                  </w:pPr>
                  <w:r w:rsidRPr="006C5DD1">
                    <w:rPr>
                      <w:rFonts w:cstheme="minorHAnsi"/>
                      <w:szCs w:val="20"/>
                    </w:rPr>
                    <w:t>REA</w:t>
                  </w:r>
                  <w:r>
                    <w:rPr>
                      <w:rFonts w:cstheme="minorHAnsi"/>
                      <w:szCs w:val="20"/>
                    </w:rPr>
                    <w:t xml:space="preserve">, Direct Install </w:t>
                  </w:r>
                </w:p>
              </w:tc>
              <w:tc>
                <w:tcPr>
                  <w:tcW w:w="2341" w:type="pct"/>
                  <w:vAlign w:val="center"/>
                </w:tcPr>
                <w:p w14:paraId="6EFCB2AE" w14:textId="77777777" w:rsidR="009F3960" w:rsidRPr="006C5DD1" w:rsidRDefault="009F3960" w:rsidP="009F3960">
                  <w:pPr>
                    <w:rPr>
                      <w:rFonts w:cstheme="minorHAnsi"/>
                      <w:szCs w:val="20"/>
                    </w:rPr>
                  </w:pPr>
                  <w:r w:rsidRPr="006C5DD1">
                    <w:rPr>
                      <w:rFonts w:cstheme="minorHAnsi"/>
                      <w:szCs w:val="20"/>
                    </w:rPr>
                    <w:t xml:space="preserve">$7.27/fixture + $7/fixture = </w:t>
                  </w:r>
                  <w:r w:rsidRPr="0057289D">
                    <w:rPr>
                      <w:rFonts w:cstheme="minorHAnsi"/>
                      <w:b/>
                      <w:szCs w:val="20"/>
                    </w:rPr>
                    <w:t>$14.27 per fixture</w:t>
                  </w:r>
                </w:p>
              </w:tc>
              <w:tc>
                <w:tcPr>
                  <w:tcW w:w="1342" w:type="pct"/>
                  <w:vAlign w:val="center"/>
                </w:tcPr>
                <w:p w14:paraId="6F5FB133" w14:textId="77777777" w:rsidR="009F3960" w:rsidRPr="006C5DD1" w:rsidRDefault="009F3960" w:rsidP="009F3960">
                  <w:pPr>
                    <w:rPr>
                      <w:rFonts w:cstheme="minorHAnsi"/>
                      <w:szCs w:val="20"/>
                    </w:rPr>
                  </w:pPr>
                  <w:r w:rsidRPr="0057289D">
                    <w:rPr>
                      <w:rFonts w:cstheme="minorHAnsi"/>
                      <w:szCs w:val="20"/>
                    </w:rPr>
                    <w:t>$14.27 per fixture</w:t>
                  </w:r>
                </w:p>
              </w:tc>
            </w:tr>
            <w:tr w:rsidR="009F3960" w:rsidRPr="00500C4E" w14:paraId="34A9958B" w14:textId="77777777" w:rsidTr="009F3960">
              <w:tc>
                <w:tcPr>
                  <w:tcW w:w="1317" w:type="pct"/>
                  <w:vAlign w:val="center"/>
                </w:tcPr>
                <w:p w14:paraId="4BD08D7D" w14:textId="7C57F32F" w:rsidR="009F3960" w:rsidRPr="006C5DD1" w:rsidRDefault="009F3960" w:rsidP="009F3960">
                  <w:pPr>
                    <w:rPr>
                      <w:rFonts w:cstheme="minorHAnsi"/>
                      <w:szCs w:val="20"/>
                    </w:rPr>
                  </w:pPr>
                  <w:r w:rsidRPr="006C5DD1">
                    <w:rPr>
                      <w:rFonts w:cstheme="minorHAnsi"/>
                      <w:szCs w:val="20"/>
                    </w:rPr>
                    <w:t>REA</w:t>
                  </w:r>
                  <w:r>
                    <w:rPr>
                      <w:rFonts w:cstheme="minorHAnsi"/>
                      <w:szCs w:val="20"/>
                    </w:rPr>
                    <w:t xml:space="preserve">, </w:t>
                  </w:r>
                  <w:proofErr w:type="gramStart"/>
                  <w:r>
                    <w:rPr>
                      <w:rFonts w:cstheme="minorHAnsi"/>
                      <w:szCs w:val="20"/>
                    </w:rPr>
                    <w:t>Downstream  Rebate</w:t>
                  </w:r>
                  <w:proofErr w:type="gramEnd"/>
                </w:p>
              </w:tc>
              <w:tc>
                <w:tcPr>
                  <w:tcW w:w="2341" w:type="pct"/>
                  <w:vAlign w:val="center"/>
                </w:tcPr>
                <w:p w14:paraId="1AD0E0FC" w14:textId="3DD2AE3B" w:rsidR="009F3960" w:rsidRPr="006C5DD1" w:rsidRDefault="00D275BD" w:rsidP="009F3960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$7.27/fixture + $7</w:t>
                  </w:r>
                  <w:r w:rsidR="009F3960" w:rsidRPr="006C5DD1">
                    <w:rPr>
                      <w:rFonts w:cstheme="minorHAnsi"/>
                      <w:szCs w:val="20"/>
                    </w:rPr>
                    <w:t xml:space="preserve">/fixture = </w:t>
                  </w:r>
                  <w:r w:rsidR="009F3960" w:rsidRPr="0057289D">
                    <w:rPr>
                      <w:rFonts w:cstheme="minorHAnsi"/>
                      <w:b/>
                      <w:szCs w:val="20"/>
                    </w:rPr>
                    <w:t>$7.27 per fixture</w:t>
                  </w:r>
                </w:p>
              </w:tc>
              <w:tc>
                <w:tcPr>
                  <w:tcW w:w="1342" w:type="pct"/>
                  <w:vAlign w:val="center"/>
                </w:tcPr>
                <w:p w14:paraId="5A53DE97" w14:textId="1FE53D42" w:rsidR="009F3960" w:rsidRPr="006C5DD1" w:rsidRDefault="00D275BD" w:rsidP="009F3960">
                  <w:pPr>
                    <w:rPr>
                      <w:rFonts w:cstheme="minorHAnsi"/>
                      <w:szCs w:val="20"/>
                    </w:rPr>
                  </w:pPr>
                  <w:r>
                    <w:rPr>
                      <w:rFonts w:cstheme="minorHAnsi"/>
                      <w:szCs w:val="20"/>
                    </w:rPr>
                    <w:t>$14</w:t>
                  </w:r>
                  <w:r w:rsidR="009F3960" w:rsidRPr="0057289D">
                    <w:rPr>
                      <w:rFonts w:cstheme="minorHAnsi"/>
                      <w:szCs w:val="20"/>
                    </w:rPr>
                    <w:t>.27 per fixture</w:t>
                  </w:r>
                </w:p>
              </w:tc>
            </w:tr>
          </w:tbl>
          <w:p w14:paraId="11A26367" w14:textId="2567EEB5" w:rsidR="009F3960" w:rsidRDefault="009F3960" w:rsidP="002A7EFE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</w:tbl>
    <w:p w14:paraId="11A26370" w14:textId="594038C6" w:rsidR="00C8526F" w:rsidRDefault="00C8526F" w:rsidP="00567FEF"/>
    <w:p w14:paraId="11A26371" w14:textId="77777777" w:rsidR="00C8526F" w:rsidRDefault="00C8526F" w:rsidP="00567FEF"/>
    <w:p w14:paraId="11A26558" w14:textId="0D00BA28" w:rsidR="00C8526F" w:rsidRPr="00FD3D43" w:rsidRDefault="00C8526F" w:rsidP="00567FEF">
      <w:r w:rsidRPr="00B3112F">
        <w:t xml:space="preserve"> </w:t>
      </w:r>
    </w:p>
    <w:sectPr w:rsidR="00C8526F" w:rsidRPr="00FD3D43" w:rsidSect="002A7EFE">
      <w:footerReference w:type="default" r:id="rId14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24689" w14:textId="77777777" w:rsidR="00265658" w:rsidRDefault="00265658" w:rsidP="00FE520B">
      <w:r>
        <w:separator/>
      </w:r>
    </w:p>
  </w:endnote>
  <w:endnote w:type="continuationSeparator" w:id="0">
    <w:p w14:paraId="434B8492" w14:textId="77777777" w:rsidR="00265658" w:rsidRDefault="00265658" w:rsidP="00FE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26568" w14:textId="6B0E26BC" w:rsidR="00CB7EFC" w:rsidRPr="00241A1F" w:rsidRDefault="00CB7EFC" w:rsidP="00241A1F">
    <w:pPr>
      <w:pStyle w:val="Revnumber"/>
      <w:rPr>
        <w:b w:val="0"/>
        <w:szCs w:val="22"/>
      </w:rPr>
    </w:pPr>
    <w:r>
      <w:rPr>
        <w:b w:val="0"/>
      </w:rPr>
      <w:tab/>
    </w:r>
    <w:r>
      <w:rPr>
        <w:b w:val="0"/>
      </w:rPr>
      <w:tab/>
      <w:t>June 12, 2018</w:t>
    </w:r>
  </w:p>
  <w:p w14:paraId="11A26569" w14:textId="0CB8DF78" w:rsidR="00CB7EFC" w:rsidRPr="009500DC" w:rsidRDefault="00CB7EFC" w:rsidP="00521B4E">
    <w:pPr>
      <w:pStyle w:val="Revnumber"/>
      <w:tabs>
        <w:tab w:val="left" w:pos="5274"/>
      </w:tabs>
      <w:jc w:val="center"/>
    </w:pPr>
    <w:r>
      <w:rPr>
        <w:b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2656A" w14:textId="4BEBE24A" w:rsidR="00CB7EFC" w:rsidRDefault="00D275BD" w:rsidP="00757232">
    <w:pPr>
      <w:pStyle w:val="Revnumber"/>
    </w:pPr>
    <w:r>
      <w:t>June 15</w:t>
    </w:r>
    <w:r w:rsidR="00CB7EFC">
      <w:t>,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2656D" w14:textId="0B5739BE" w:rsidR="00CB7EFC" w:rsidRPr="009500DC" w:rsidRDefault="00F4492D" w:rsidP="00CB7EF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r>
      <w:rPr>
        <w:rFonts w:cstheme="minorHAnsi"/>
        <w:b/>
        <w:sz w:val="20"/>
        <w:szCs w:val="20"/>
      </w:rPr>
      <w:t>PGECODHW127</w:t>
    </w:r>
    <w:r w:rsidR="00CB7EFC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CB7EFC">
          <w:rPr>
            <w:rFonts w:cstheme="minorHAnsi"/>
            <w:b/>
            <w:sz w:val="20"/>
            <w:szCs w:val="20"/>
          </w:rPr>
          <w:t>Revision 0</w:t>
        </w:r>
      </w:sdtContent>
    </w:sdt>
    <w:r w:rsidR="00CB7EFC" w:rsidRPr="009500DC">
      <w:rPr>
        <w:rFonts w:cstheme="minorHAnsi"/>
        <w:b/>
        <w:sz w:val="20"/>
        <w:szCs w:val="20"/>
      </w:rPr>
      <w:tab/>
    </w:r>
    <w:r w:rsidR="00CB7EFC" w:rsidRPr="009500DC">
      <w:rPr>
        <w:rFonts w:cstheme="minorHAnsi"/>
        <w:b/>
        <w:sz w:val="20"/>
        <w:szCs w:val="20"/>
      </w:rPr>
      <w:fldChar w:fldCharType="begin"/>
    </w:r>
    <w:r w:rsidR="00CB7EFC" w:rsidRPr="009500DC">
      <w:rPr>
        <w:rFonts w:cstheme="minorHAnsi"/>
        <w:b/>
        <w:sz w:val="20"/>
        <w:szCs w:val="20"/>
      </w:rPr>
      <w:instrText xml:space="preserve"> PAGE   \* MERGEFORMAT </w:instrText>
    </w:r>
    <w:r w:rsidR="00CB7EFC" w:rsidRPr="009500DC">
      <w:rPr>
        <w:rFonts w:cstheme="minorHAnsi"/>
        <w:b/>
        <w:sz w:val="20"/>
        <w:szCs w:val="20"/>
      </w:rPr>
      <w:fldChar w:fldCharType="separate"/>
    </w:r>
    <w:r w:rsidR="00E65350">
      <w:rPr>
        <w:rFonts w:cstheme="minorHAnsi"/>
        <w:b/>
        <w:noProof/>
        <w:sz w:val="20"/>
        <w:szCs w:val="20"/>
      </w:rPr>
      <w:t>4</w:t>
    </w:r>
    <w:r w:rsidR="00CB7EFC" w:rsidRPr="009500DC">
      <w:rPr>
        <w:rFonts w:cstheme="minorHAnsi"/>
        <w:b/>
        <w:noProof/>
        <w:sz w:val="20"/>
        <w:szCs w:val="20"/>
      </w:rPr>
      <w:fldChar w:fldCharType="end"/>
    </w:r>
    <w:r w:rsidR="00CB7EFC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6-12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E65350">
          <w:rPr>
            <w:rFonts w:cstheme="minorHAnsi"/>
            <w:b/>
            <w:sz w:val="20"/>
            <w:szCs w:val="20"/>
          </w:rPr>
          <w:t>June 12, 2018</w:t>
        </w:r>
      </w:sdtContent>
    </w:sdt>
  </w:p>
  <w:p w14:paraId="11A2656E" w14:textId="77777777" w:rsidR="00CB7EFC" w:rsidRPr="009500DC" w:rsidRDefault="00265658" w:rsidP="00CB7EF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CB7EFC">
          <w:rPr>
            <w:rFonts w:cstheme="minorHAnsi"/>
            <w:b/>
            <w:sz w:val="20"/>
            <w:szCs w:val="20"/>
          </w:rPr>
          <w:t xml:space="preserve">     </w:t>
        </w:r>
      </w:sdtContent>
    </w:sdt>
  </w:p>
  <w:p w14:paraId="11A2656F" w14:textId="77777777" w:rsidR="00CB7EFC" w:rsidRDefault="00CB7EFC"/>
  <w:p w14:paraId="11A26570" w14:textId="77777777" w:rsidR="00CB7EFC" w:rsidRDefault="00CB7EFC"/>
  <w:p w14:paraId="01D3F591" w14:textId="77777777" w:rsidR="00CB7EFC" w:rsidRDefault="00CB7EF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77E13" w14:textId="77777777" w:rsidR="00265658" w:rsidRDefault="00265658" w:rsidP="00FE520B">
      <w:r>
        <w:separator/>
      </w:r>
    </w:p>
  </w:footnote>
  <w:footnote w:type="continuationSeparator" w:id="0">
    <w:p w14:paraId="534B8EC7" w14:textId="77777777" w:rsidR="00265658" w:rsidRDefault="00265658" w:rsidP="00FE5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565F"/>
    <w:multiLevelType w:val="hybridMultilevel"/>
    <w:tmpl w:val="888CE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8306D"/>
    <w:multiLevelType w:val="hybridMultilevel"/>
    <w:tmpl w:val="8FA4F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60C73"/>
    <w:multiLevelType w:val="hybridMultilevel"/>
    <w:tmpl w:val="4738B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73A71"/>
    <w:multiLevelType w:val="multilevel"/>
    <w:tmpl w:val="8AB81EBE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44676"/>
    <w:multiLevelType w:val="hybridMultilevel"/>
    <w:tmpl w:val="4BB03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D603CA"/>
    <w:multiLevelType w:val="hybridMultilevel"/>
    <w:tmpl w:val="0F1C04C2"/>
    <w:lvl w:ilvl="0" w:tplc="1ECAA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3" w15:restartNumberingAfterBreak="0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F5896"/>
    <w:multiLevelType w:val="hybridMultilevel"/>
    <w:tmpl w:val="348A011E"/>
    <w:lvl w:ilvl="0" w:tplc="D0BE858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05C9F"/>
    <w:multiLevelType w:val="hybridMultilevel"/>
    <w:tmpl w:val="38CC48DA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8" w15:restartNumberingAfterBreak="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D8678E"/>
    <w:multiLevelType w:val="hybridMultilevel"/>
    <w:tmpl w:val="AF76E458"/>
    <w:lvl w:ilvl="0" w:tplc="F1947144">
      <w:start w:val="3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A20419B"/>
    <w:multiLevelType w:val="hybridMultilevel"/>
    <w:tmpl w:val="1660A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E165E"/>
    <w:multiLevelType w:val="hybridMultilevel"/>
    <w:tmpl w:val="42E6D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9"/>
  </w:num>
  <w:num w:numId="5">
    <w:abstractNumId w:val="14"/>
  </w:num>
  <w:num w:numId="6">
    <w:abstractNumId w:val="6"/>
  </w:num>
  <w:num w:numId="7">
    <w:abstractNumId w:val="23"/>
  </w:num>
  <w:num w:numId="8">
    <w:abstractNumId w:val="16"/>
  </w:num>
  <w:num w:numId="9">
    <w:abstractNumId w:val="7"/>
  </w:num>
  <w:num w:numId="10">
    <w:abstractNumId w:val="18"/>
  </w:num>
  <w:num w:numId="11">
    <w:abstractNumId w:val="22"/>
  </w:num>
  <w:num w:numId="12">
    <w:abstractNumId w:val="13"/>
  </w:num>
  <w:num w:numId="13">
    <w:abstractNumId w:val="24"/>
  </w:num>
  <w:num w:numId="14">
    <w:abstractNumId w:val="12"/>
  </w:num>
  <w:num w:numId="15">
    <w:abstractNumId w:val="25"/>
  </w:num>
  <w:num w:numId="16">
    <w:abstractNumId w:val="15"/>
  </w:num>
  <w:num w:numId="17">
    <w:abstractNumId w:val="19"/>
  </w:num>
  <w:num w:numId="18">
    <w:abstractNumId w:val="17"/>
  </w:num>
  <w:num w:numId="19">
    <w:abstractNumId w:val="10"/>
  </w:num>
  <w:num w:numId="20">
    <w:abstractNumId w:val="21"/>
  </w:num>
  <w:num w:numId="21">
    <w:abstractNumId w:val="8"/>
  </w:num>
  <w:num w:numId="22">
    <w:abstractNumId w:val="1"/>
  </w:num>
  <w:num w:numId="23">
    <w:abstractNumId w:val="2"/>
  </w:num>
  <w:num w:numId="24">
    <w:abstractNumId w:val="20"/>
  </w:num>
  <w:num w:numId="25">
    <w:abstractNumId w:val="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7C6"/>
    <w:rsid w:val="00004D4E"/>
    <w:rsid w:val="0002351A"/>
    <w:rsid w:val="00023C32"/>
    <w:rsid w:val="00026262"/>
    <w:rsid w:val="00031221"/>
    <w:rsid w:val="0003137E"/>
    <w:rsid w:val="00031BA0"/>
    <w:rsid w:val="000371AA"/>
    <w:rsid w:val="00041DA6"/>
    <w:rsid w:val="00052743"/>
    <w:rsid w:val="00052CE4"/>
    <w:rsid w:val="0006116B"/>
    <w:rsid w:val="00067315"/>
    <w:rsid w:val="00067873"/>
    <w:rsid w:val="000719BF"/>
    <w:rsid w:val="00076614"/>
    <w:rsid w:val="00091F1E"/>
    <w:rsid w:val="000A075B"/>
    <w:rsid w:val="000B5761"/>
    <w:rsid w:val="000C13AE"/>
    <w:rsid w:val="000D4C68"/>
    <w:rsid w:val="000E19CA"/>
    <w:rsid w:val="000E2CA6"/>
    <w:rsid w:val="000E43BB"/>
    <w:rsid w:val="000F6BA3"/>
    <w:rsid w:val="000F72EF"/>
    <w:rsid w:val="00116D61"/>
    <w:rsid w:val="0012271D"/>
    <w:rsid w:val="00136994"/>
    <w:rsid w:val="00143843"/>
    <w:rsid w:val="00160E47"/>
    <w:rsid w:val="001752E5"/>
    <w:rsid w:val="00176C65"/>
    <w:rsid w:val="00194466"/>
    <w:rsid w:val="00196511"/>
    <w:rsid w:val="001A11C1"/>
    <w:rsid w:val="001A34A6"/>
    <w:rsid w:val="001A4875"/>
    <w:rsid w:val="001B1C8A"/>
    <w:rsid w:val="001B5D6C"/>
    <w:rsid w:val="001C3663"/>
    <w:rsid w:val="001D0AB9"/>
    <w:rsid w:val="001D30D2"/>
    <w:rsid w:val="001D57D7"/>
    <w:rsid w:val="001D6A64"/>
    <w:rsid w:val="001E5195"/>
    <w:rsid w:val="001F1328"/>
    <w:rsid w:val="001F5504"/>
    <w:rsid w:val="00200084"/>
    <w:rsid w:val="00200310"/>
    <w:rsid w:val="00206565"/>
    <w:rsid w:val="00215828"/>
    <w:rsid w:val="00221E65"/>
    <w:rsid w:val="00231DE1"/>
    <w:rsid w:val="00241A1F"/>
    <w:rsid w:val="00244447"/>
    <w:rsid w:val="00250C25"/>
    <w:rsid w:val="00251156"/>
    <w:rsid w:val="00251ABB"/>
    <w:rsid w:val="00265658"/>
    <w:rsid w:val="00270239"/>
    <w:rsid w:val="00273C5F"/>
    <w:rsid w:val="0027410B"/>
    <w:rsid w:val="00282AAF"/>
    <w:rsid w:val="00282E40"/>
    <w:rsid w:val="00291B2B"/>
    <w:rsid w:val="002A7EFE"/>
    <w:rsid w:val="002B219E"/>
    <w:rsid w:val="002B7A10"/>
    <w:rsid w:val="002C1030"/>
    <w:rsid w:val="002C15E6"/>
    <w:rsid w:val="002D7B3E"/>
    <w:rsid w:val="002E0948"/>
    <w:rsid w:val="002E24BE"/>
    <w:rsid w:val="003065FA"/>
    <w:rsid w:val="00312768"/>
    <w:rsid w:val="00323C28"/>
    <w:rsid w:val="00324737"/>
    <w:rsid w:val="0032761E"/>
    <w:rsid w:val="00333E1B"/>
    <w:rsid w:val="00334386"/>
    <w:rsid w:val="00360CFA"/>
    <w:rsid w:val="00362173"/>
    <w:rsid w:val="00375496"/>
    <w:rsid w:val="0039527A"/>
    <w:rsid w:val="003A0D2B"/>
    <w:rsid w:val="003A4277"/>
    <w:rsid w:val="003A5223"/>
    <w:rsid w:val="003A7B4E"/>
    <w:rsid w:val="003B4639"/>
    <w:rsid w:val="003B48B2"/>
    <w:rsid w:val="003B5DCF"/>
    <w:rsid w:val="003B605F"/>
    <w:rsid w:val="003C2EE4"/>
    <w:rsid w:val="003D1C21"/>
    <w:rsid w:val="003E0DC8"/>
    <w:rsid w:val="003E122A"/>
    <w:rsid w:val="003E23F0"/>
    <w:rsid w:val="003E3894"/>
    <w:rsid w:val="003E61C8"/>
    <w:rsid w:val="003E6E57"/>
    <w:rsid w:val="003E6FA5"/>
    <w:rsid w:val="003F1F0D"/>
    <w:rsid w:val="0040026D"/>
    <w:rsid w:val="004016D3"/>
    <w:rsid w:val="00402B3D"/>
    <w:rsid w:val="00413EF4"/>
    <w:rsid w:val="00417843"/>
    <w:rsid w:val="00431763"/>
    <w:rsid w:val="00435DC7"/>
    <w:rsid w:val="00443C38"/>
    <w:rsid w:val="00443CA7"/>
    <w:rsid w:val="0044686E"/>
    <w:rsid w:val="004519B4"/>
    <w:rsid w:val="00454489"/>
    <w:rsid w:val="004546FD"/>
    <w:rsid w:val="004621F7"/>
    <w:rsid w:val="00463A00"/>
    <w:rsid w:val="00463A68"/>
    <w:rsid w:val="004664F4"/>
    <w:rsid w:val="00467DB3"/>
    <w:rsid w:val="00481A9D"/>
    <w:rsid w:val="00482172"/>
    <w:rsid w:val="00492471"/>
    <w:rsid w:val="00493EB4"/>
    <w:rsid w:val="004A6215"/>
    <w:rsid w:val="004C3465"/>
    <w:rsid w:val="004C6CB2"/>
    <w:rsid w:val="004D0326"/>
    <w:rsid w:val="004D5D19"/>
    <w:rsid w:val="004D66DF"/>
    <w:rsid w:val="004E10FC"/>
    <w:rsid w:val="004E13B2"/>
    <w:rsid w:val="004E741E"/>
    <w:rsid w:val="0051536D"/>
    <w:rsid w:val="00521B4E"/>
    <w:rsid w:val="005428E1"/>
    <w:rsid w:val="00555671"/>
    <w:rsid w:val="00556B27"/>
    <w:rsid w:val="005613FC"/>
    <w:rsid w:val="00567FEF"/>
    <w:rsid w:val="00580664"/>
    <w:rsid w:val="00583D02"/>
    <w:rsid w:val="0059117D"/>
    <w:rsid w:val="00591D85"/>
    <w:rsid w:val="0059370A"/>
    <w:rsid w:val="005944C1"/>
    <w:rsid w:val="0059663B"/>
    <w:rsid w:val="005B487F"/>
    <w:rsid w:val="005B5614"/>
    <w:rsid w:val="005B5AAF"/>
    <w:rsid w:val="005C1080"/>
    <w:rsid w:val="005C1518"/>
    <w:rsid w:val="005C377A"/>
    <w:rsid w:val="005D0040"/>
    <w:rsid w:val="005E0A85"/>
    <w:rsid w:val="005E18A1"/>
    <w:rsid w:val="005F3ECD"/>
    <w:rsid w:val="005F4AE2"/>
    <w:rsid w:val="0061099B"/>
    <w:rsid w:val="00614182"/>
    <w:rsid w:val="00632FF7"/>
    <w:rsid w:val="00636490"/>
    <w:rsid w:val="00650C31"/>
    <w:rsid w:val="00650F0D"/>
    <w:rsid w:val="00653C4B"/>
    <w:rsid w:val="00663886"/>
    <w:rsid w:val="00666474"/>
    <w:rsid w:val="00666CDA"/>
    <w:rsid w:val="00683342"/>
    <w:rsid w:val="00684ABA"/>
    <w:rsid w:val="006875B3"/>
    <w:rsid w:val="00695478"/>
    <w:rsid w:val="006A3E63"/>
    <w:rsid w:val="006A4551"/>
    <w:rsid w:val="006B0D5C"/>
    <w:rsid w:val="006C37A5"/>
    <w:rsid w:val="006D03F9"/>
    <w:rsid w:val="006D07B7"/>
    <w:rsid w:val="006E2FD6"/>
    <w:rsid w:val="006F2487"/>
    <w:rsid w:val="00700C85"/>
    <w:rsid w:val="00707736"/>
    <w:rsid w:val="00711B58"/>
    <w:rsid w:val="00727839"/>
    <w:rsid w:val="007279C6"/>
    <w:rsid w:val="00736717"/>
    <w:rsid w:val="007406FA"/>
    <w:rsid w:val="00755B4D"/>
    <w:rsid w:val="00756DC8"/>
    <w:rsid w:val="00757232"/>
    <w:rsid w:val="00762D81"/>
    <w:rsid w:val="0076481A"/>
    <w:rsid w:val="007649AC"/>
    <w:rsid w:val="007812D7"/>
    <w:rsid w:val="00785AC8"/>
    <w:rsid w:val="00786CAF"/>
    <w:rsid w:val="00786E32"/>
    <w:rsid w:val="0078756E"/>
    <w:rsid w:val="00787D7C"/>
    <w:rsid w:val="00792928"/>
    <w:rsid w:val="00796174"/>
    <w:rsid w:val="00797B54"/>
    <w:rsid w:val="007A2F86"/>
    <w:rsid w:val="007B0A6F"/>
    <w:rsid w:val="007B3A5B"/>
    <w:rsid w:val="007C18B0"/>
    <w:rsid w:val="007D1F1E"/>
    <w:rsid w:val="007D3A21"/>
    <w:rsid w:val="007D6BD0"/>
    <w:rsid w:val="007E011C"/>
    <w:rsid w:val="007E41ED"/>
    <w:rsid w:val="007E66F2"/>
    <w:rsid w:val="007F4DA5"/>
    <w:rsid w:val="00814F9B"/>
    <w:rsid w:val="0081521B"/>
    <w:rsid w:val="00834B32"/>
    <w:rsid w:val="008365EB"/>
    <w:rsid w:val="008526AB"/>
    <w:rsid w:val="00852BAA"/>
    <w:rsid w:val="00856FA4"/>
    <w:rsid w:val="00862113"/>
    <w:rsid w:val="00870147"/>
    <w:rsid w:val="008724D6"/>
    <w:rsid w:val="008775D7"/>
    <w:rsid w:val="00884B9C"/>
    <w:rsid w:val="0089014B"/>
    <w:rsid w:val="008A1557"/>
    <w:rsid w:val="008A1D1C"/>
    <w:rsid w:val="008A4224"/>
    <w:rsid w:val="008B3167"/>
    <w:rsid w:val="008C2C8A"/>
    <w:rsid w:val="008C5A8E"/>
    <w:rsid w:val="008C674A"/>
    <w:rsid w:val="008D0B3C"/>
    <w:rsid w:val="008D2A13"/>
    <w:rsid w:val="008D568B"/>
    <w:rsid w:val="008E0850"/>
    <w:rsid w:val="008E5CD5"/>
    <w:rsid w:val="008E699A"/>
    <w:rsid w:val="008E7A0C"/>
    <w:rsid w:val="008F5DEF"/>
    <w:rsid w:val="00900302"/>
    <w:rsid w:val="00910D54"/>
    <w:rsid w:val="00920B88"/>
    <w:rsid w:val="009269CE"/>
    <w:rsid w:val="0093459A"/>
    <w:rsid w:val="0093657B"/>
    <w:rsid w:val="00936764"/>
    <w:rsid w:val="00950249"/>
    <w:rsid w:val="00957C01"/>
    <w:rsid w:val="0097295A"/>
    <w:rsid w:val="00986A83"/>
    <w:rsid w:val="009B125C"/>
    <w:rsid w:val="009B1F47"/>
    <w:rsid w:val="009C3F2D"/>
    <w:rsid w:val="009C6AE8"/>
    <w:rsid w:val="009D2FCD"/>
    <w:rsid w:val="009F3770"/>
    <w:rsid w:val="009F3960"/>
    <w:rsid w:val="00A051D9"/>
    <w:rsid w:val="00A1253C"/>
    <w:rsid w:val="00A3401B"/>
    <w:rsid w:val="00A37F6D"/>
    <w:rsid w:val="00A42821"/>
    <w:rsid w:val="00A61271"/>
    <w:rsid w:val="00A71532"/>
    <w:rsid w:val="00A75B5B"/>
    <w:rsid w:val="00A75EDC"/>
    <w:rsid w:val="00A965B2"/>
    <w:rsid w:val="00AA2A7B"/>
    <w:rsid w:val="00AA3B68"/>
    <w:rsid w:val="00AA43C4"/>
    <w:rsid w:val="00AB00CA"/>
    <w:rsid w:val="00AB6950"/>
    <w:rsid w:val="00AD0244"/>
    <w:rsid w:val="00AD0E19"/>
    <w:rsid w:val="00AD4BB5"/>
    <w:rsid w:val="00AE3EC5"/>
    <w:rsid w:val="00AF3C67"/>
    <w:rsid w:val="00B3436F"/>
    <w:rsid w:val="00B354BF"/>
    <w:rsid w:val="00B37963"/>
    <w:rsid w:val="00B45919"/>
    <w:rsid w:val="00B46393"/>
    <w:rsid w:val="00B471CC"/>
    <w:rsid w:val="00B47B58"/>
    <w:rsid w:val="00B57F32"/>
    <w:rsid w:val="00B61FCD"/>
    <w:rsid w:val="00B74AFF"/>
    <w:rsid w:val="00B75260"/>
    <w:rsid w:val="00B75AF4"/>
    <w:rsid w:val="00B80557"/>
    <w:rsid w:val="00B818B4"/>
    <w:rsid w:val="00B84663"/>
    <w:rsid w:val="00B9234D"/>
    <w:rsid w:val="00B9452E"/>
    <w:rsid w:val="00B9551F"/>
    <w:rsid w:val="00B970A4"/>
    <w:rsid w:val="00BA41C0"/>
    <w:rsid w:val="00BB2D80"/>
    <w:rsid w:val="00BC3EAB"/>
    <w:rsid w:val="00BC40DB"/>
    <w:rsid w:val="00BC6454"/>
    <w:rsid w:val="00BD7ED5"/>
    <w:rsid w:val="00BF0CB6"/>
    <w:rsid w:val="00BF10B9"/>
    <w:rsid w:val="00C048F4"/>
    <w:rsid w:val="00C05797"/>
    <w:rsid w:val="00C06B9E"/>
    <w:rsid w:val="00C15B1A"/>
    <w:rsid w:val="00C15F66"/>
    <w:rsid w:val="00C228B0"/>
    <w:rsid w:val="00C23CAB"/>
    <w:rsid w:val="00C243EE"/>
    <w:rsid w:val="00C24892"/>
    <w:rsid w:val="00C414A6"/>
    <w:rsid w:val="00C44550"/>
    <w:rsid w:val="00C44E5A"/>
    <w:rsid w:val="00C462C1"/>
    <w:rsid w:val="00C54AC6"/>
    <w:rsid w:val="00C7215A"/>
    <w:rsid w:val="00C8526F"/>
    <w:rsid w:val="00C871A7"/>
    <w:rsid w:val="00C97206"/>
    <w:rsid w:val="00CA48A0"/>
    <w:rsid w:val="00CB10BC"/>
    <w:rsid w:val="00CB5307"/>
    <w:rsid w:val="00CB7EFC"/>
    <w:rsid w:val="00CE177D"/>
    <w:rsid w:val="00CF01A3"/>
    <w:rsid w:val="00CF295D"/>
    <w:rsid w:val="00CF2ABA"/>
    <w:rsid w:val="00D00FCF"/>
    <w:rsid w:val="00D0497B"/>
    <w:rsid w:val="00D22F63"/>
    <w:rsid w:val="00D275BD"/>
    <w:rsid w:val="00D3336A"/>
    <w:rsid w:val="00D345A3"/>
    <w:rsid w:val="00D36099"/>
    <w:rsid w:val="00D36B0E"/>
    <w:rsid w:val="00D5110D"/>
    <w:rsid w:val="00D60240"/>
    <w:rsid w:val="00D7150D"/>
    <w:rsid w:val="00D73723"/>
    <w:rsid w:val="00D84702"/>
    <w:rsid w:val="00D850D7"/>
    <w:rsid w:val="00D87460"/>
    <w:rsid w:val="00DA5D17"/>
    <w:rsid w:val="00DB544A"/>
    <w:rsid w:val="00DB71F1"/>
    <w:rsid w:val="00DC7243"/>
    <w:rsid w:val="00DE1C5D"/>
    <w:rsid w:val="00DE364E"/>
    <w:rsid w:val="00DF4A2C"/>
    <w:rsid w:val="00DF4E40"/>
    <w:rsid w:val="00E048EA"/>
    <w:rsid w:val="00E05871"/>
    <w:rsid w:val="00E05B9C"/>
    <w:rsid w:val="00E159C8"/>
    <w:rsid w:val="00E165FC"/>
    <w:rsid w:val="00E2468F"/>
    <w:rsid w:val="00E35D68"/>
    <w:rsid w:val="00E372B8"/>
    <w:rsid w:val="00E408A9"/>
    <w:rsid w:val="00E46364"/>
    <w:rsid w:val="00E52110"/>
    <w:rsid w:val="00E54B8D"/>
    <w:rsid w:val="00E56CE7"/>
    <w:rsid w:val="00E6385A"/>
    <w:rsid w:val="00E64633"/>
    <w:rsid w:val="00E65350"/>
    <w:rsid w:val="00E6538A"/>
    <w:rsid w:val="00E6631C"/>
    <w:rsid w:val="00E733C7"/>
    <w:rsid w:val="00E76853"/>
    <w:rsid w:val="00E768E1"/>
    <w:rsid w:val="00E82995"/>
    <w:rsid w:val="00E84938"/>
    <w:rsid w:val="00E8506C"/>
    <w:rsid w:val="00E859F0"/>
    <w:rsid w:val="00EC38B0"/>
    <w:rsid w:val="00EC7A22"/>
    <w:rsid w:val="00ED043F"/>
    <w:rsid w:val="00ED3B34"/>
    <w:rsid w:val="00ED65C0"/>
    <w:rsid w:val="00EE38DA"/>
    <w:rsid w:val="00EE6CFE"/>
    <w:rsid w:val="00EF11B5"/>
    <w:rsid w:val="00EF2689"/>
    <w:rsid w:val="00EF61C8"/>
    <w:rsid w:val="00F07B2B"/>
    <w:rsid w:val="00F117C6"/>
    <w:rsid w:val="00F11BAA"/>
    <w:rsid w:val="00F413B6"/>
    <w:rsid w:val="00F4492D"/>
    <w:rsid w:val="00F46211"/>
    <w:rsid w:val="00F6244F"/>
    <w:rsid w:val="00F77C08"/>
    <w:rsid w:val="00F855DD"/>
    <w:rsid w:val="00FA3359"/>
    <w:rsid w:val="00FB4B16"/>
    <w:rsid w:val="00FD292E"/>
    <w:rsid w:val="00FD3D43"/>
    <w:rsid w:val="00FE1470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A26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0FC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00FCF"/>
    <w:rPr>
      <w:rFonts w:ascii="Times New Roman" w:hAnsi="Times New Roman"/>
      <w:sz w:val="20"/>
      <w:szCs w:val="20"/>
      <w:lang w:val="x-none" w:eastAsia="x-none"/>
    </w:rPr>
  </w:style>
  <w:style w:type="character" w:customStyle="1" w:styleId="EndnoteTextChar">
    <w:name w:val="Endnote Text Char"/>
    <w:basedOn w:val="DefaultParagraphFont"/>
    <w:link w:val="EndnoteText"/>
    <w:semiHidden/>
    <w:rsid w:val="00D00FC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EndnoteReference">
    <w:name w:val="endnote reference"/>
    <w:semiHidden/>
    <w:rsid w:val="00D00FCF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0FCF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paragraph" w:styleId="Revision">
    <w:name w:val="Revision"/>
    <w:hidden/>
    <w:uiPriority w:val="99"/>
    <w:semiHidden/>
    <w:rsid w:val="00463A00"/>
    <w:pPr>
      <w:spacing w:after="0" w:line="240" w:lineRule="auto"/>
    </w:pPr>
    <w:rPr>
      <w:rFonts w:eastAsia="Times New Roman" w:cs="Times New Roman"/>
      <w:szCs w:val="24"/>
    </w:rPr>
  </w:style>
  <w:style w:type="table" w:styleId="TableContemporary">
    <w:name w:val="Table Contemporary"/>
    <w:aliases w:val="Table Contemporary Black Header,WP Table"/>
    <w:basedOn w:val="TableNormal"/>
    <w:rsid w:val="001D30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Reminder">
    <w:name w:val="Reminder"/>
    <w:basedOn w:val="Reminders"/>
    <w:link w:val="ReminderChar"/>
    <w:rsid w:val="00C8526F"/>
  </w:style>
  <w:style w:type="character" w:customStyle="1" w:styleId="ReminderChar">
    <w:name w:val="Reminder Char"/>
    <w:basedOn w:val="RemindersChar"/>
    <w:link w:val="Reminder"/>
    <w:rsid w:val="00C8526F"/>
    <w:rPr>
      <w:rFonts w:ascii="Trebuchet MS" w:eastAsia="Times New Roman" w:hAnsi="Trebuchet MS" w:cs="Times New Roman"/>
      <w:i/>
      <w:color w:val="FF0000"/>
      <w:szCs w:val="24"/>
    </w:rPr>
  </w:style>
  <w:style w:type="character" w:customStyle="1" w:styleId="Strong1">
    <w:name w:val="Strong1"/>
    <w:qFormat/>
    <w:rsid w:val="00C8526F"/>
    <w:rPr>
      <w:b/>
      <w:bCs/>
    </w:rPr>
  </w:style>
  <w:style w:type="paragraph" w:styleId="NoSpacing">
    <w:name w:val="No Spacing"/>
    <w:uiPriority w:val="1"/>
    <w:qFormat/>
    <w:rsid w:val="00C8526F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C8526F"/>
    <w:pPr>
      <w:spacing w:before="120" w:after="120"/>
      <w:ind w:left="720"/>
    </w:pPr>
    <w:rPr>
      <w:rFonts w:ascii="Verdana" w:hAnsi="Verdan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8526F"/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2018-06-12T00:00:00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6273B3A-7B4A-4F7C-8605-683BD53B6D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4C7C9-672E-4F76-A2C5-237599E89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A9EF63-BA53-443E-9F13-BE60A9C3E9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359514A-2D80-4734-AD06-D9C953CBB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2120</Words>
  <Characters>12085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SCE17CC014</vt:lpstr>
    </vt:vector>
  </TitlesOfParts>
  <LinksUpToDate>false</LinksUpToDate>
  <CharactersWithSpaces>14177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SCE17CC014</dc:title>
  <dc:creator/>
  <cp:lastModifiedBy/>
  <cp:revision>1</cp:revision>
  <dcterms:created xsi:type="dcterms:W3CDTF">2018-06-14T17:25:00Z</dcterms:created>
  <dcterms:modified xsi:type="dcterms:W3CDTF">2018-06-15T23:33:00Z</dcterms:modified>
  <cp:contentStatus>Revision 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